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029E" w14:textId="77777777" w:rsidR="00FF4F00" w:rsidRDefault="00794277">
      <w:pPr>
        <w:spacing w:before="1440" w:after="480"/>
        <w:jc w:val="center"/>
      </w:pPr>
      <w:r>
        <w:rPr>
          <w:b/>
          <w:sz w:val="32"/>
        </w:rPr>
        <w:t>SUPPLEMENTARY MATERIALS</w:t>
      </w:r>
    </w:p>
    <w:p w14:paraId="11FD2F74" w14:textId="417DC57E" w:rsidR="00FF4F00" w:rsidRDefault="00794277" w:rsidP="00FE66EE">
      <w:r>
        <w:rPr>
          <w:b/>
          <w:sz w:val="26"/>
        </w:rPr>
        <w:t>TABLE OF CONTENTS</w:t>
      </w:r>
    </w:p>
    <w:p w14:paraId="378466E9" w14:textId="77777777" w:rsidR="00DF7ECE" w:rsidRDefault="00DF7ECE">
      <w:pPr>
        <w:tabs>
          <w:tab w:val="left" w:pos="8640"/>
        </w:tabs>
        <w:spacing w:before="20" w:after="60"/>
        <w:rPr>
          <w:b/>
          <w:lang w:eastAsia="ja-JP"/>
        </w:rPr>
      </w:pPr>
    </w:p>
    <w:p w14:paraId="391234AE" w14:textId="21824413" w:rsidR="00FF4F00" w:rsidRDefault="00794277">
      <w:pPr>
        <w:tabs>
          <w:tab w:val="left" w:pos="8640"/>
        </w:tabs>
        <w:spacing w:before="20" w:after="60"/>
      </w:pPr>
      <w:r>
        <w:rPr>
          <w:b/>
        </w:rPr>
        <w:t>Appendix 1   Search Strategies</w:t>
      </w:r>
    </w:p>
    <w:p w14:paraId="0A7BD241" w14:textId="77777777" w:rsidR="00FF4F00" w:rsidRDefault="00794277">
      <w:pPr>
        <w:tabs>
          <w:tab w:val="left" w:pos="8640"/>
        </w:tabs>
        <w:spacing w:before="20" w:after="60"/>
      </w:pPr>
      <w:r>
        <w:rPr>
          <w:b/>
        </w:rPr>
        <w:t>Appendix 2   Full Eligibility Criteria — Exclusion Criteria</w:t>
      </w:r>
    </w:p>
    <w:p w14:paraId="4B3DAF53" w14:textId="77777777" w:rsidR="00FF4F00" w:rsidRDefault="00794277">
      <w:pPr>
        <w:tabs>
          <w:tab w:val="left" w:pos="8640"/>
        </w:tabs>
        <w:spacing w:before="20" w:after="60"/>
      </w:pPr>
      <w:r>
        <w:rPr>
          <w:b/>
        </w:rPr>
        <w:t>Appendix 3   Outcome Definitions and Rationale for Primary Outcome Selection</w:t>
      </w:r>
    </w:p>
    <w:p w14:paraId="187BE756" w14:textId="77777777" w:rsidR="00FF4F00" w:rsidRDefault="00794277">
      <w:pPr>
        <w:tabs>
          <w:tab w:val="left" w:pos="8640"/>
        </w:tabs>
        <w:spacing w:before="20" w:after="60"/>
      </w:pPr>
      <w:r>
        <w:rPr>
          <w:b/>
        </w:rPr>
        <w:t>Appendix 4   Data Extraction Items</w:t>
      </w:r>
    </w:p>
    <w:p w14:paraId="4AB3AB37" w14:textId="77777777" w:rsidR="00FF4F00" w:rsidRDefault="00794277">
      <w:pPr>
        <w:tabs>
          <w:tab w:val="left" w:pos="8640"/>
        </w:tabs>
        <w:spacing w:before="20" w:after="60"/>
      </w:pPr>
      <w:r>
        <w:rPr>
          <w:b/>
        </w:rPr>
        <w:t>Appendix 5   Sensitivity and Subgroup Analysis — Detailed Rationale</w:t>
      </w:r>
    </w:p>
    <w:p w14:paraId="69BC388A" w14:textId="77777777" w:rsidR="00FF4F00" w:rsidRDefault="00794277">
      <w:pPr>
        <w:tabs>
          <w:tab w:val="left" w:pos="8640"/>
        </w:tabs>
        <w:spacing w:before="20" w:after="60"/>
      </w:pPr>
      <w:r>
        <w:rPr>
          <w:b/>
        </w:rPr>
        <w:t>Appendix 6   Assessment of Certainty of Evidence (GRADE)</w:t>
      </w:r>
    </w:p>
    <w:p w14:paraId="74D204FC" w14:textId="77777777" w:rsidR="00FF4F00" w:rsidRDefault="00794277">
      <w:pPr>
        <w:tabs>
          <w:tab w:val="left" w:pos="8640"/>
        </w:tabs>
        <w:spacing w:before="20" w:after="60"/>
      </w:pPr>
      <w:r>
        <w:rPr>
          <w:b/>
        </w:rPr>
        <w:t>Appendix 7   Risk of Bias Assessment Details</w:t>
      </w:r>
    </w:p>
    <w:p w14:paraId="3816253E" w14:textId="77777777" w:rsidR="00FF4F00" w:rsidRDefault="00794277">
      <w:pPr>
        <w:tabs>
          <w:tab w:val="left" w:pos="8640"/>
        </w:tabs>
        <w:spacing w:before="20" w:after="60"/>
      </w:pPr>
      <w:r>
        <w:rPr>
          <w:b/>
        </w:rPr>
        <w:t>Appendix 8   Supplemental Results</w:t>
      </w:r>
    </w:p>
    <w:p w14:paraId="449F925E" w14:textId="77777777" w:rsidR="00FF4F00" w:rsidRDefault="00FF4F00">
      <w:pPr>
        <w:spacing w:after="40"/>
      </w:pPr>
    </w:p>
    <w:p w14:paraId="38BEE7A1" w14:textId="77777777" w:rsidR="00FF4F00" w:rsidRDefault="00794277">
      <w:pPr>
        <w:tabs>
          <w:tab w:val="left" w:pos="8640"/>
        </w:tabs>
        <w:spacing w:before="20" w:after="60"/>
      </w:pPr>
      <w:r>
        <w:rPr>
          <w:b/>
        </w:rPr>
        <w:t>Supplementary Table 1   Characteristics of Included Studies</w:t>
      </w:r>
    </w:p>
    <w:p w14:paraId="4DB6464E" w14:textId="77777777" w:rsidR="00FF4F00" w:rsidRDefault="00794277">
      <w:pPr>
        <w:tabs>
          <w:tab w:val="left" w:pos="8640"/>
        </w:tabs>
        <w:spacing w:before="20" w:after="60"/>
      </w:pPr>
      <w:r>
        <w:rPr>
          <w:b/>
        </w:rPr>
        <w:t>Supplementary Table 2   Upper Gastrointestinal Bleeding Definitions Across Included Studies</w:t>
      </w:r>
    </w:p>
    <w:p w14:paraId="64B403DD" w14:textId="77777777" w:rsidR="00FF4F00" w:rsidRDefault="00FF4F00">
      <w:pPr>
        <w:spacing w:after="40"/>
      </w:pPr>
    </w:p>
    <w:p w14:paraId="585261E4" w14:textId="77777777" w:rsidR="006A46F1" w:rsidRPr="000D6AF7" w:rsidRDefault="00C44941" w:rsidP="00C41FA0">
      <w:pPr>
        <w:spacing w:line="240" w:lineRule="auto"/>
        <w:rPr>
          <w:b/>
          <w:bCs/>
        </w:rPr>
      </w:pPr>
      <w:r w:rsidRPr="000D6AF7">
        <w:rPr>
          <w:b/>
          <w:bCs/>
        </w:rPr>
        <w:t>Supplementary Fig. 1   Outcome-specific Risk of Bias (RoB 2) of Randomized Controlled Trials</w:t>
      </w:r>
    </w:p>
    <w:p w14:paraId="690513D8" w14:textId="77777777" w:rsidR="00FF4F00" w:rsidRDefault="00794277" w:rsidP="00C41FA0">
      <w:pPr>
        <w:tabs>
          <w:tab w:val="left" w:pos="8640"/>
        </w:tabs>
        <w:spacing w:before="20" w:after="60" w:line="240" w:lineRule="auto"/>
      </w:pPr>
      <w:r>
        <w:rPr>
          <w:b/>
        </w:rPr>
        <w:t>Supplementary Fig. 2   Funnel Plot — Primary Outcome (Any Upper Gastrointestinal Bleeding)</w:t>
      </w:r>
    </w:p>
    <w:p w14:paraId="638F85DF" w14:textId="640D50A0" w:rsidR="00C72508" w:rsidRDefault="00C72508" w:rsidP="00C41FA0">
      <w:pPr>
        <w:tabs>
          <w:tab w:val="left" w:pos="8640"/>
        </w:tabs>
        <w:spacing w:before="20" w:after="60" w:line="240" w:lineRule="auto"/>
      </w:pPr>
      <w:r>
        <w:rPr>
          <w:b/>
        </w:rPr>
        <w:t>Supplementary Fig. 3   Sensitivity Analysis — Restricting to RCTs with Low Risk of Bias or Some Concerns</w:t>
      </w:r>
    </w:p>
    <w:p w14:paraId="442469C9" w14:textId="77777777" w:rsidR="00010515" w:rsidRDefault="00010515"/>
    <w:p w14:paraId="31359DA1" w14:textId="3BB2599B" w:rsidR="004F11CA" w:rsidRPr="00010515" w:rsidRDefault="00C44941">
      <w:pPr>
        <w:rPr>
          <w:b/>
          <w:bCs/>
        </w:rPr>
      </w:pPr>
      <w:r w:rsidRPr="00010515">
        <w:rPr>
          <w:b/>
          <w:bCs/>
        </w:rPr>
        <w:t>PRISMA 2020 Checklist</w:t>
      </w:r>
    </w:p>
    <w:p w14:paraId="1601F137" w14:textId="77777777" w:rsidR="00C72508" w:rsidRDefault="00C72508" w:rsidP="00C41FA0">
      <w:pPr>
        <w:tabs>
          <w:tab w:val="left" w:pos="8640"/>
        </w:tabs>
        <w:spacing w:before="20" w:after="60" w:line="240" w:lineRule="auto"/>
      </w:pPr>
    </w:p>
    <w:p w14:paraId="6DC7C888" w14:textId="77777777" w:rsidR="00FF4F00" w:rsidRDefault="00794277">
      <w:r>
        <w:br w:type="page"/>
      </w:r>
    </w:p>
    <w:p w14:paraId="24650770" w14:textId="54C8ADED" w:rsidR="00FF4F00" w:rsidRDefault="00794277">
      <w:pPr>
        <w:spacing w:before="360" w:after="120"/>
      </w:pPr>
      <w:r>
        <w:rPr>
          <w:b/>
          <w:sz w:val="26"/>
        </w:rPr>
        <w:lastRenderedPageBreak/>
        <w:t>Appendix 1. Search Strategies</w:t>
      </w:r>
    </w:p>
    <w:p w14:paraId="52DB1B3E" w14:textId="5CBC7879" w:rsidR="00FF4F00" w:rsidRDefault="00794277">
      <w:pPr>
        <w:spacing w:after="120"/>
      </w:pPr>
      <w:r>
        <w:t>Comprehensive literature searches were conducted in PubMed, Cochrane Central Register of Controlled Trials (CENTRAL), Scopus, Web of Science Core Collection, and Igaku Chuo Zasshi (</w:t>
      </w:r>
      <w:r>
        <w:t>医中誌</w:t>
      </w:r>
      <w:r>
        <w:t>Web) from their inception to June 30, 2025</w:t>
      </w:r>
      <w:r>
        <w:rPr>
          <w:rFonts w:hint="eastAsia"/>
          <w:lang w:eastAsia="ja-JP"/>
        </w:rPr>
        <w:t xml:space="preserve"> and </w:t>
      </w:r>
      <w:r>
        <w:t>update</w:t>
      </w:r>
      <w:r>
        <w:rPr>
          <w:rFonts w:hint="eastAsia"/>
          <w:lang w:eastAsia="ja-JP"/>
        </w:rPr>
        <w:t>d</w:t>
      </w:r>
      <w:r>
        <w:t xml:space="preserve"> May 20</w:t>
      </w:r>
      <w:r>
        <w:rPr>
          <w:rFonts w:hint="eastAsia"/>
          <w:lang w:eastAsia="ja-JP"/>
        </w:rPr>
        <w:t>, 2026.</w:t>
      </w:r>
      <w:r>
        <w:t xml:space="preserve"> The complete search strategies for each database are provided below. Numbers in parentheses indicate the number of records retrieved.</w:t>
      </w:r>
    </w:p>
    <w:p w14:paraId="3AB10545" w14:textId="53E7D090" w:rsidR="00FF4F00" w:rsidRDefault="00794277">
      <w:pPr>
        <w:spacing w:before="240" w:after="60"/>
      </w:pPr>
      <w:r>
        <w:rPr>
          <w:b/>
          <w:i/>
          <w:sz w:val="24"/>
        </w:rPr>
        <w:t>PubMed</w:t>
      </w:r>
      <w:r w:rsidR="00F03AD0">
        <w:rPr>
          <w:rFonts w:hint="eastAsia"/>
          <w:b/>
          <w:i/>
          <w:sz w:val="24"/>
          <w:lang w:eastAsia="ja-JP"/>
        </w:rPr>
        <w:t>/</w:t>
      </w:r>
      <w:r w:rsidR="008800C7">
        <w:rPr>
          <w:rFonts w:hint="eastAsia"/>
          <w:b/>
          <w:i/>
          <w:sz w:val="24"/>
          <w:lang w:eastAsia="ja-JP"/>
        </w:rPr>
        <w:t>MEDLINE</w:t>
      </w:r>
      <w:r>
        <w:t xml:space="preserve">  (n = 70)</w:t>
      </w:r>
    </w:p>
    <w:tbl>
      <w:tblPr>
        <w:tblStyle w:val="afe"/>
        <w:tblW w:w="0" w:type="auto"/>
        <w:tblLook w:val="04A0" w:firstRow="1" w:lastRow="0" w:firstColumn="1" w:lastColumn="0" w:noHBand="0" w:noVBand="1"/>
      </w:tblPr>
      <w:tblGrid>
        <w:gridCol w:w="9266"/>
      </w:tblGrid>
      <w:tr w:rsidR="00FF4F00" w14:paraId="658F25C3" w14:textId="77777777">
        <w:tc>
          <w:tcPr>
            <w:tcW w:w="9360" w:type="dxa"/>
            <w:shd w:val="clear" w:color="auto" w:fill="F5F5F5"/>
            <w:tcMar>
              <w:top w:w="120" w:type="dxa"/>
              <w:left w:w="120" w:type="dxa"/>
              <w:bottom w:w="120" w:type="dxa"/>
              <w:right w:w="120" w:type="dxa"/>
            </w:tcMar>
          </w:tcPr>
          <w:p w14:paraId="3424098D" w14:textId="77777777" w:rsidR="00FF4F00" w:rsidRDefault="00794277">
            <w:r>
              <w:rPr>
                <w:rFonts w:ascii="Courier New" w:hAnsi="Courier New"/>
                <w:sz w:val="17"/>
              </w:rPr>
              <w:t>(</w:t>
            </w:r>
            <w:r>
              <w:rPr>
                <w:rFonts w:ascii="Courier New" w:hAnsi="Courier New"/>
                <w:sz w:val="17"/>
              </w:rPr>
              <w:br/>
              <w:t xml:space="preserve">  "Proton Pump Inhibitors"[Mesh] OR "Histamine H2 Antagonists"[Mesh] OR</w:t>
            </w:r>
            <w:r>
              <w:rPr>
                <w:rFonts w:ascii="Courier New" w:hAnsi="Courier New"/>
                <w:sz w:val="17"/>
              </w:rPr>
              <w:br/>
              <w:t xml:space="preserve">  "Gastric Acid"[Mesh] OR</w:t>
            </w:r>
            <w:r>
              <w:rPr>
                <w:rFonts w:ascii="Courier New" w:hAnsi="Courier New"/>
                <w:sz w:val="17"/>
              </w:rPr>
              <w:br/>
              <w:t xml:space="preserve">  PPI[tiab] OR H2RA[tiab] OR "acid suppression"[tiab] OR</w:t>
            </w:r>
            <w:r>
              <w:rPr>
                <w:rFonts w:ascii="Courier New" w:hAnsi="Courier New"/>
                <w:sz w:val="17"/>
              </w:rPr>
              <w:br/>
              <w:t xml:space="preserve">  omeprazole[tiab] OR pantoprazole[tiab] OR lansoprazole[tiab] OR</w:t>
            </w:r>
            <w:r>
              <w:rPr>
                <w:rFonts w:ascii="Courier New" w:hAnsi="Courier New"/>
                <w:sz w:val="17"/>
              </w:rPr>
              <w:br/>
              <w:t xml:space="preserve">  rabeprazole[tiab] OR esomeprazole[tiab] OR</w:t>
            </w:r>
            <w:r>
              <w:rPr>
                <w:rFonts w:ascii="Courier New" w:hAnsi="Courier New"/>
                <w:sz w:val="17"/>
              </w:rPr>
              <w:br/>
              <w:t xml:space="preserve">  famotidine[tiab] OR ranitidine[tiab] OR cimetidine[tiab] OR</w:t>
            </w:r>
            <w:r>
              <w:rPr>
                <w:rFonts w:ascii="Courier New" w:hAnsi="Courier New"/>
                <w:sz w:val="17"/>
              </w:rPr>
              <w:br/>
              <w:t xml:space="preserve">  nizatidine[tiab] OR sucralfate[tiab] OR almagate[tiab]</w:t>
            </w:r>
            <w:r>
              <w:rPr>
                <w:rFonts w:ascii="Courier New" w:hAnsi="Courier New"/>
                <w:sz w:val="17"/>
              </w:rPr>
              <w:br/>
              <w:t>)</w:t>
            </w:r>
            <w:r>
              <w:rPr>
                <w:rFonts w:ascii="Courier New" w:hAnsi="Courier New"/>
                <w:sz w:val="17"/>
              </w:rPr>
              <w:br/>
              <w:t>AND</w:t>
            </w:r>
            <w:r>
              <w:rPr>
                <w:rFonts w:ascii="Courier New" w:hAnsi="Courier New"/>
                <w:sz w:val="17"/>
              </w:rPr>
              <w:br/>
              <w:t>(</w:t>
            </w:r>
            <w:r>
              <w:rPr>
                <w:rFonts w:ascii="Courier New" w:hAnsi="Courier New"/>
                <w:sz w:val="17"/>
              </w:rPr>
              <w:br/>
              <w:t xml:space="preserve">  "Gastrointestinal Hemorrhage"[Mesh] OR "Peptic Ulcer"[Mesh] OR</w:t>
            </w:r>
            <w:r>
              <w:rPr>
                <w:rFonts w:ascii="Courier New" w:hAnsi="Courier New"/>
                <w:sz w:val="17"/>
              </w:rPr>
              <w:br/>
              <w:t xml:space="preserve">  "gastrointestinal bleeding"[tiab] OR "stress ulcer"[tiab] OR</w:t>
            </w:r>
            <w:r>
              <w:rPr>
                <w:rFonts w:ascii="Courier New" w:hAnsi="Courier New"/>
                <w:sz w:val="17"/>
              </w:rPr>
              <w:br/>
              <w:t xml:space="preserve">  "gastric ulcer"[tiab] OR "duodenal ulcer"[tiab] OR "gastric pH"[tiab]</w:t>
            </w:r>
            <w:r>
              <w:rPr>
                <w:rFonts w:ascii="Courier New" w:hAnsi="Courier New"/>
                <w:sz w:val="17"/>
              </w:rPr>
              <w:br/>
              <w:t>)</w:t>
            </w:r>
            <w:r>
              <w:rPr>
                <w:rFonts w:ascii="Courier New" w:hAnsi="Courier New"/>
                <w:sz w:val="17"/>
              </w:rPr>
              <w:br/>
              <w:t>AND</w:t>
            </w:r>
            <w:r>
              <w:rPr>
                <w:rFonts w:ascii="Courier New" w:hAnsi="Courier New"/>
                <w:sz w:val="17"/>
              </w:rPr>
              <w:br/>
              <w:t>(</w:t>
            </w:r>
            <w:r>
              <w:rPr>
                <w:rFonts w:ascii="Courier New" w:hAnsi="Courier New"/>
                <w:sz w:val="17"/>
              </w:rPr>
              <w:br/>
              <w:t xml:space="preserve">  "Pediatrics"[Mesh] OR "Child"[Mesh] OR pediatric*[tiab] OR</w:t>
            </w:r>
            <w:r>
              <w:rPr>
                <w:rFonts w:ascii="Courier New" w:hAnsi="Courier New"/>
                <w:sz w:val="17"/>
              </w:rPr>
              <w:br/>
              <w:t xml:space="preserve">  infant*[tiab] OR neonat*[tiab] OR child*[tiab]</w:t>
            </w:r>
            <w:r>
              <w:rPr>
                <w:rFonts w:ascii="Courier New" w:hAnsi="Courier New"/>
                <w:sz w:val="17"/>
              </w:rPr>
              <w:br/>
              <w:t>)</w:t>
            </w:r>
            <w:r>
              <w:rPr>
                <w:rFonts w:ascii="Courier New" w:hAnsi="Courier New"/>
                <w:sz w:val="17"/>
              </w:rPr>
              <w:br/>
              <w:t>AND</w:t>
            </w:r>
            <w:r>
              <w:rPr>
                <w:rFonts w:ascii="Courier New" w:hAnsi="Courier New"/>
                <w:sz w:val="17"/>
              </w:rPr>
              <w:br/>
              <w:t>(</w:t>
            </w:r>
            <w:r>
              <w:rPr>
                <w:rFonts w:ascii="Courier New" w:hAnsi="Courier New"/>
                <w:sz w:val="17"/>
              </w:rPr>
              <w:br/>
              <w:t xml:space="preserve">  "Intensive Care Units, Pediatric"[Mesh] OR ICU[tiab] OR PICU[tiab] OR</w:t>
            </w:r>
            <w:r>
              <w:rPr>
                <w:rFonts w:ascii="Courier New" w:hAnsi="Courier New"/>
                <w:sz w:val="17"/>
              </w:rPr>
              <w:br/>
              <w:t xml:space="preserve">  "critical care"[tiab] OR "intensive care"[tiab] OR</w:t>
            </w:r>
            <w:r>
              <w:rPr>
                <w:rFonts w:ascii="Courier New" w:hAnsi="Courier New"/>
                <w:sz w:val="17"/>
              </w:rPr>
              <w:br/>
              <w:t xml:space="preserve">  "cardiac surgery"[tiab] OR "cardiopulmonary bypass"[tiab] OR</w:t>
            </w:r>
            <w:r>
              <w:rPr>
                <w:rFonts w:ascii="Courier New" w:hAnsi="Courier New"/>
                <w:sz w:val="17"/>
              </w:rPr>
              <w:br/>
              <w:t xml:space="preserve">  ECMO[tiab] OR "postoperative care"[tiab] OR</w:t>
            </w:r>
            <w:r>
              <w:rPr>
                <w:rFonts w:ascii="Courier New" w:hAnsi="Courier New"/>
                <w:sz w:val="17"/>
              </w:rPr>
              <w:br/>
              <w:t xml:space="preserve">  "major surgery"[tiab] OR "mechanical ventilation"[tiab] OR</w:t>
            </w:r>
            <w:r>
              <w:rPr>
                <w:rFonts w:ascii="Courier New" w:hAnsi="Courier New"/>
                <w:sz w:val="17"/>
              </w:rPr>
              <w:br/>
              <w:t xml:space="preserve">  "vasoactive support"[tiab] OR "inotropic support"[tiab]</w:t>
            </w:r>
            <w:r>
              <w:rPr>
                <w:rFonts w:ascii="Courier New" w:hAnsi="Courier New"/>
                <w:sz w:val="17"/>
              </w:rPr>
              <w:br/>
              <w:t>)</w:t>
            </w:r>
          </w:p>
        </w:tc>
      </w:tr>
    </w:tbl>
    <w:p w14:paraId="3FA884E1" w14:textId="77777777" w:rsidR="00FF4F00" w:rsidRDefault="00FF4F00">
      <w:pPr>
        <w:spacing w:after="80"/>
      </w:pPr>
    </w:p>
    <w:p w14:paraId="3EFE79D0" w14:textId="77777777" w:rsidR="00FF4F00" w:rsidRDefault="00794277">
      <w:pPr>
        <w:spacing w:before="240" w:after="60"/>
      </w:pPr>
      <w:r>
        <w:rPr>
          <w:b/>
          <w:i/>
          <w:sz w:val="24"/>
        </w:rPr>
        <w:t>Cochrane Central Register of Controlled Trials (CENTRAL)</w:t>
      </w:r>
      <w:r>
        <w:t xml:space="preserve">  (n = 25)</w:t>
      </w:r>
    </w:p>
    <w:tbl>
      <w:tblPr>
        <w:tblStyle w:val="afe"/>
        <w:tblW w:w="0" w:type="auto"/>
        <w:tblLook w:val="04A0" w:firstRow="1" w:lastRow="0" w:firstColumn="1" w:lastColumn="0" w:noHBand="0" w:noVBand="1"/>
      </w:tblPr>
      <w:tblGrid>
        <w:gridCol w:w="9266"/>
      </w:tblGrid>
      <w:tr w:rsidR="00FF4F00" w14:paraId="2086C13F" w14:textId="77777777">
        <w:tc>
          <w:tcPr>
            <w:tcW w:w="9360" w:type="dxa"/>
            <w:shd w:val="clear" w:color="auto" w:fill="F5F5F5"/>
            <w:tcMar>
              <w:top w:w="120" w:type="dxa"/>
              <w:left w:w="120" w:type="dxa"/>
              <w:bottom w:w="120" w:type="dxa"/>
              <w:right w:w="120" w:type="dxa"/>
            </w:tcMar>
          </w:tcPr>
          <w:p w14:paraId="439404BE" w14:textId="77777777" w:rsidR="00FF4F00" w:rsidRDefault="00794277">
            <w:r>
              <w:rPr>
                <w:rFonts w:ascii="Courier New" w:hAnsi="Courier New"/>
                <w:sz w:val="17"/>
              </w:rPr>
              <w:t>#1   MeSH descriptor: [Proton Pump Inhibitors] explode all trees  [2009]</w:t>
            </w:r>
            <w:r>
              <w:rPr>
                <w:rFonts w:ascii="Courier New" w:hAnsi="Courier New"/>
                <w:sz w:val="17"/>
              </w:rPr>
              <w:br/>
              <w:t>#2   MeSH descriptor: [Histamine H2 Antagonists] explode all trees  [1064]</w:t>
            </w:r>
            <w:r>
              <w:rPr>
                <w:rFonts w:ascii="Courier New" w:hAnsi="Courier New"/>
                <w:sz w:val="17"/>
              </w:rPr>
              <w:br/>
              <w:t>#3   MeSH descriptor: [Gastric Acid] explode all trees  [1185]</w:t>
            </w:r>
            <w:r>
              <w:rPr>
                <w:rFonts w:ascii="Courier New" w:hAnsi="Courier New"/>
                <w:sz w:val="17"/>
              </w:rPr>
              <w:br/>
              <w:t>#4   PPI  [3613]</w:t>
            </w:r>
            <w:r>
              <w:rPr>
                <w:rFonts w:ascii="Courier New" w:hAnsi="Courier New"/>
                <w:sz w:val="17"/>
              </w:rPr>
              <w:br/>
              <w:t>#5   H2RA  [ 190]</w:t>
            </w:r>
            <w:r>
              <w:rPr>
                <w:rFonts w:ascii="Courier New" w:hAnsi="Courier New"/>
                <w:sz w:val="17"/>
              </w:rPr>
              <w:br/>
              <w:t>#6   "acid suppression"  [ 640]</w:t>
            </w:r>
            <w:r>
              <w:rPr>
                <w:rFonts w:ascii="Courier New" w:hAnsi="Courier New"/>
                <w:sz w:val="17"/>
              </w:rPr>
              <w:br/>
              <w:t>#7   omeprazole  [4852]</w:t>
            </w:r>
            <w:r>
              <w:rPr>
                <w:rFonts w:ascii="Courier New" w:hAnsi="Courier New"/>
                <w:sz w:val="17"/>
              </w:rPr>
              <w:br/>
              <w:t>#8   pantoprazole  [1531]</w:t>
            </w:r>
            <w:r>
              <w:rPr>
                <w:rFonts w:ascii="Courier New" w:hAnsi="Courier New"/>
                <w:sz w:val="17"/>
              </w:rPr>
              <w:br/>
              <w:t>#9   lansoprazole  [1740]</w:t>
            </w:r>
            <w:r>
              <w:rPr>
                <w:rFonts w:ascii="Courier New" w:hAnsi="Courier New"/>
                <w:sz w:val="17"/>
              </w:rPr>
              <w:br/>
              <w:t>#10  rabeprazole  [1246]</w:t>
            </w:r>
            <w:r>
              <w:rPr>
                <w:rFonts w:ascii="Courier New" w:hAnsi="Courier New"/>
                <w:sz w:val="17"/>
              </w:rPr>
              <w:br/>
              <w:t>#11  esomeprazole  [1990]</w:t>
            </w:r>
            <w:r>
              <w:rPr>
                <w:rFonts w:ascii="Courier New" w:hAnsi="Courier New"/>
                <w:sz w:val="17"/>
              </w:rPr>
              <w:br/>
              <w:t>#12  famotidine  [1091]</w:t>
            </w:r>
            <w:r>
              <w:rPr>
                <w:rFonts w:ascii="Courier New" w:hAnsi="Courier New"/>
                <w:sz w:val="17"/>
              </w:rPr>
              <w:br/>
              <w:t>#13  ranitidine  [3223]</w:t>
            </w:r>
            <w:r>
              <w:rPr>
                <w:rFonts w:ascii="Courier New" w:hAnsi="Courier New"/>
                <w:sz w:val="17"/>
              </w:rPr>
              <w:br/>
              <w:t>#14  cimetidine  [2692]</w:t>
            </w:r>
            <w:r>
              <w:rPr>
                <w:rFonts w:ascii="Courier New" w:hAnsi="Courier New"/>
                <w:sz w:val="17"/>
              </w:rPr>
              <w:br/>
              <w:t>#15  nizatidine  [ 257]</w:t>
            </w:r>
            <w:r>
              <w:rPr>
                <w:rFonts w:ascii="Courier New" w:hAnsi="Courier New"/>
                <w:sz w:val="17"/>
              </w:rPr>
              <w:br/>
              <w:t>#16  sucralfate  [ 865]</w:t>
            </w:r>
            <w:r>
              <w:rPr>
                <w:rFonts w:ascii="Courier New" w:hAnsi="Courier New"/>
                <w:sz w:val="17"/>
              </w:rPr>
              <w:br/>
              <w:t>#17  almagate  [  20]</w:t>
            </w:r>
            <w:r>
              <w:rPr>
                <w:rFonts w:ascii="Courier New" w:hAnsi="Courier New"/>
                <w:sz w:val="17"/>
              </w:rPr>
              <w:br/>
              <w:t>#18  #1 OR #2 OR #3 OR #4 OR #5 OR #6 OR #7 OR #8 OR #9 OR #10</w:t>
            </w:r>
            <w:r>
              <w:rPr>
                <w:rFonts w:ascii="Courier New" w:hAnsi="Courier New"/>
                <w:sz w:val="17"/>
              </w:rPr>
              <w:br/>
              <w:t xml:space="preserve">     OR #11 OR #12 OR #13 OR #14 OR #15 OR #16 OR #17  [18124]</w:t>
            </w:r>
            <w:r>
              <w:rPr>
                <w:rFonts w:ascii="Courier New" w:hAnsi="Courier New"/>
                <w:sz w:val="17"/>
              </w:rPr>
              <w:br/>
              <w:t>#19  MeSH descriptor: [Gastrointestinal Hemorrhage] explode all trees  [2568]</w:t>
            </w:r>
            <w:r>
              <w:rPr>
                <w:rFonts w:ascii="Courier New" w:hAnsi="Courier New"/>
                <w:sz w:val="17"/>
              </w:rPr>
              <w:br/>
              <w:t>#20  MeSH descriptor: [Peptic Ulcer] explode all trees  [4440]</w:t>
            </w:r>
            <w:r>
              <w:rPr>
                <w:rFonts w:ascii="Courier New" w:hAnsi="Courier New"/>
                <w:sz w:val="17"/>
              </w:rPr>
              <w:br/>
              <w:t>#21  "gastrointestinal bleeding"  [2843]</w:t>
            </w:r>
            <w:r>
              <w:rPr>
                <w:rFonts w:ascii="Courier New" w:hAnsi="Courier New"/>
                <w:sz w:val="17"/>
              </w:rPr>
              <w:br/>
            </w:r>
            <w:r>
              <w:rPr>
                <w:rFonts w:ascii="Courier New" w:hAnsi="Courier New"/>
                <w:sz w:val="17"/>
              </w:rPr>
              <w:lastRenderedPageBreak/>
              <w:t>#22  "stress ulcer"  [ 357]</w:t>
            </w:r>
            <w:r>
              <w:rPr>
                <w:rFonts w:ascii="Courier New" w:hAnsi="Courier New"/>
                <w:sz w:val="17"/>
              </w:rPr>
              <w:br/>
              <w:t>#23  "gastric ulcer"  [1342]</w:t>
            </w:r>
            <w:r>
              <w:rPr>
                <w:rFonts w:ascii="Courier New" w:hAnsi="Courier New"/>
                <w:sz w:val="17"/>
              </w:rPr>
              <w:br/>
              <w:t>#24  "duodenal ulcer"  [3623]</w:t>
            </w:r>
            <w:r>
              <w:rPr>
                <w:rFonts w:ascii="Courier New" w:hAnsi="Courier New"/>
                <w:sz w:val="17"/>
              </w:rPr>
              <w:br/>
              <w:t>#25  "gastric pH"  [  33]</w:t>
            </w:r>
            <w:r>
              <w:rPr>
                <w:rFonts w:ascii="Courier New" w:hAnsi="Courier New"/>
                <w:sz w:val="17"/>
              </w:rPr>
              <w:br/>
              <w:t>#26  #19 OR #20 OR #21 OR #22 OR #23 OR #24 OR #25  [10012]</w:t>
            </w:r>
            <w:r>
              <w:rPr>
                <w:rFonts w:ascii="Courier New" w:hAnsi="Courier New"/>
                <w:sz w:val="17"/>
              </w:rPr>
              <w:br/>
              <w:t>#27  MeSH descriptor: [Pediatrics] explode all trees  [1061]</w:t>
            </w:r>
            <w:r>
              <w:rPr>
                <w:rFonts w:ascii="Courier New" w:hAnsi="Courier New"/>
                <w:sz w:val="17"/>
              </w:rPr>
              <w:br/>
              <w:t>#28  MeSH descriptor: [Child] explode all trees  [82406]</w:t>
            </w:r>
            <w:r>
              <w:rPr>
                <w:rFonts w:ascii="Courier New" w:hAnsi="Courier New"/>
                <w:sz w:val="17"/>
              </w:rPr>
              <w:br/>
              <w:t>#29  pediatric*  [79654]</w:t>
            </w:r>
            <w:r>
              <w:rPr>
                <w:rFonts w:ascii="Courier New" w:hAnsi="Courier New"/>
                <w:sz w:val="17"/>
              </w:rPr>
              <w:br/>
              <w:t>#30  infant*  [81671]</w:t>
            </w:r>
            <w:r>
              <w:rPr>
                <w:rFonts w:ascii="Courier New" w:hAnsi="Courier New"/>
                <w:sz w:val="17"/>
              </w:rPr>
              <w:br/>
              <w:t>#31  neonat*  [42451]</w:t>
            </w:r>
            <w:r>
              <w:rPr>
                <w:rFonts w:ascii="Courier New" w:hAnsi="Courier New"/>
                <w:sz w:val="17"/>
              </w:rPr>
              <w:br/>
              <w:t>#32  child*  [239301]</w:t>
            </w:r>
            <w:r>
              <w:rPr>
                <w:rFonts w:ascii="Courier New" w:hAnsi="Courier New"/>
                <w:sz w:val="17"/>
              </w:rPr>
              <w:br/>
              <w:t>#33  #27 OR #28 OR #29 OR #30 OR #31 OR #32  [267156]</w:t>
            </w:r>
            <w:r>
              <w:rPr>
                <w:rFonts w:ascii="Courier New" w:hAnsi="Courier New"/>
                <w:sz w:val="17"/>
              </w:rPr>
              <w:br/>
              <w:t>#34  MeSH descriptor: [Intensive Care Units, Pediatric] explode all trees  [1787]</w:t>
            </w:r>
            <w:r>
              <w:rPr>
                <w:rFonts w:ascii="Courier New" w:hAnsi="Courier New"/>
                <w:sz w:val="17"/>
              </w:rPr>
              <w:br/>
              <w:t>#35  "intensive care"  [45214]</w:t>
            </w:r>
            <w:r>
              <w:rPr>
                <w:rFonts w:ascii="Courier New" w:hAnsi="Courier New"/>
                <w:sz w:val="17"/>
              </w:rPr>
              <w:br/>
              <w:t>#36  ICU  [21867]</w:t>
            </w:r>
            <w:r>
              <w:rPr>
                <w:rFonts w:ascii="Courier New" w:hAnsi="Courier New"/>
                <w:sz w:val="17"/>
              </w:rPr>
              <w:br/>
              <w:t>#37  PICU  [1337]</w:t>
            </w:r>
            <w:r>
              <w:rPr>
                <w:rFonts w:ascii="Courier New" w:hAnsi="Courier New"/>
                <w:sz w:val="17"/>
              </w:rPr>
              <w:br/>
              <w:t>#38  "critical care"  [25872]</w:t>
            </w:r>
            <w:r>
              <w:rPr>
                <w:rFonts w:ascii="Courier New" w:hAnsi="Courier New"/>
                <w:sz w:val="17"/>
              </w:rPr>
              <w:br/>
              <w:t>#39  "cardiac surgery"  [12643]</w:t>
            </w:r>
            <w:r>
              <w:rPr>
                <w:rFonts w:ascii="Courier New" w:hAnsi="Courier New"/>
                <w:sz w:val="17"/>
              </w:rPr>
              <w:br/>
              <w:t>#40  "postoperative care"  [10936]</w:t>
            </w:r>
            <w:r>
              <w:rPr>
                <w:rFonts w:ascii="Courier New" w:hAnsi="Courier New"/>
                <w:sz w:val="17"/>
              </w:rPr>
              <w:br/>
              <w:t>#41  "cardiopulmonary bypass"  [8072]</w:t>
            </w:r>
            <w:r>
              <w:rPr>
                <w:rFonts w:ascii="Courier New" w:hAnsi="Courier New"/>
                <w:sz w:val="17"/>
              </w:rPr>
              <w:br/>
              <w:t>#42  ECMO  [1170]</w:t>
            </w:r>
            <w:r>
              <w:rPr>
                <w:rFonts w:ascii="Courier New" w:hAnsi="Courier New"/>
                <w:sz w:val="17"/>
              </w:rPr>
              <w:br/>
              <w:t>#43  "mechanical ventilation"  [15389]</w:t>
            </w:r>
            <w:r>
              <w:rPr>
                <w:rFonts w:ascii="Courier New" w:hAnsi="Courier New"/>
                <w:sz w:val="17"/>
              </w:rPr>
              <w:br/>
              <w:t>#44  "major surgery"  [2321]</w:t>
            </w:r>
            <w:r>
              <w:rPr>
                <w:rFonts w:ascii="Courier New" w:hAnsi="Courier New"/>
                <w:sz w:val="17"/>
              </w:rPr>
              <w:br/>
              <w:t>#45  "vasoactive support"  [  45]</w:t>
            </w:r>
            <w:r>
              <w:rPr>
                <w:rFonts w:ascii="Courier New" w:hAnsi="Courier New"/>
                <w:sz w:val="17"/>
              </w:rPr>
              <w:br/>
              <w:t>#46  "inotropic support"  [ 681]</w:t>
            </w:r>
            <w:r>
              <w:rPr>
                <w:rFonts w:ascii="Courier New" w:hAnsi="Courier New"/>
                <w:sz w:val="17"/>
              </w:rPr>
              <w:br/>
              <w:t>#47  #34 OR #35 OR #36 OR #37 OR #38 OR #39 OR #40 OR #41 OR #42</w:t>
            </w:r>
            <w:r>
              <w:rPr>
                <w:rFonts w:ascii="Courier New" w:hAnsi="Courier New"/>
                <w:sz w:val="17"/>
              </w:rPr>
              <w:br/>
              <w:t xml:space="preserve">     OR #43 OR #44 OR #45 OR #46  [99243]</w:t>
            </w:r>
            <w:r>
              <w:rPr>
                <w:rFonts w:ascii="Courier New" w:hAnsi="Courier New"/>
                <w:sz w:val="17"/>
              </w:rPr>
              <w:br/>
              <w:t>#48  #18 AND #26 AND #33 AND #47  [   25  ← Final result]</w:t>
            </w:r>
          </w:p>
        </w:tc>
      </w:tr>
    </w:tbl>
    <w:p w14:paraId="6CB047A7" w14:textId="77777777" w:rsidR="00FF4F00" w:rsidRDefault="00FF4F00">
      <w:pPr>
        <w:spacing w:after="80"/>
      </w:pPr>
    </w:p>
    <w:p w14:paraId="41B9D398" w14:textId="60B912BA" w:rsidR="00FF4F00" w:rsidRDefault="00794277">
      <w:pPr>
        <w:spacing w:before="240" w:after="60"/>
      </w:pPr>
      <w:r>
        <w:rPr>
          <w:b/>
          <w:i/>
          <w:sz w:val="24"/>
        </w:rPr>
        <w:t>Scopus</w:t>
      </w:r>
      <w:r>
        <w:t xml:space="preserve">  (n = 2</w:t>
      </w:r>
      <w:r>
        <w:rPr>
          <w:rFonts w:hint="eastAsia"/>
          <w:lang w:eastAsia="ja-JP"/>
        </w:rPr>
        <w:t>32</w:t>
      </w:r>
      <w:r>
        <w:t>)</w:t>
      </w:r>
    </w:p>
    <w:tbl>
      <w:tblPr>
        <w:tblStyle w:val="afe"/>
        <w:tblW w:w="0" w:type="auto"/>
        <w:tblLook w:val="04A0" w:firstRow="1" w:lastRow="0" w:firstColumn="1" w:lastColumn="0" w:noHBand="0" w:noVBand="1"/>
      </w:tblPr>
      <w:tblGrid>
        <w:gridCol w:w="9266"/>
      </w:tblGrid>
      <w:tr w:rsidR="00FF4F00" w14:paraId="79663B30" w14:textId="77777777">
        <w:tc>
          <w:tcPr>
            <w:tcW w:w="9360" w:type="dxa"/>
            <w:shd w:val="clear" w:color="auto" w:fill="F5F5F5"/>
            <w:tcMar>
              <w:top w:w="120" w:type="dxa"/>
              <w:left w:w="120" w:type="dxa"/>
              <w:bottom w:w="120" w:type="dxa"/>
              <w:right w:w="120" w:type="dxa"/>
            </w:tcMar>
          </w:tcPr>
          <w:p w14:paraId="10F746DD" w14:textId="77777777" w:rsidR="00FF4F00" w:rsidRDefault="00794277">
            <w:r>
              <w:rPr>
                <w:rFonts w:ascii="Courier New" w:hAnsi="Courier New"/>
                <w:sz w:val="17"/>
              </w:rPr>
              <w:t>TITLE-ABS-KEY(</w:t>
            </w:r>
            <w:r>
              <w:rPr>
                <w:rFonts w:ascii="Courier New" w:hAnsi="Courier New"/>
                <w:sz w:val="17"/>
              </w:rPr>
              <w:br/>
              <w:t xml:space="preserve">  ("proton pump inhibitor*" OR H2RA OR "histamine H2 antagonist*" OR</w:t>
            </w:r>
            <w:r>
              <w:rPr>
                <w:rFonts w:ascii="Courier New" w:hAnsi="Courier New"/>
                <w:sz w:val="17"/>
              </w:rPr>
              <w:br/>
              <w:t xml:space="preserve">  "acid suppression" OR omeprazole OR pantoprazole OR lansoprazole OR</w:t>
            </w:r>
            <w:r>
              <w:rPr>
                <w:rFonts w:ascii="Courier New" w:hAnsi="Courier New"/>
                <w:sz w:val="17"/>
              </w:rPr>
              <w:br/>
              <w:t xml:space="preserve">  rabeprazole OR esomeprazole OR famotidine OR ranitidine OR</w:t>
            </w:r>
            <w:r>
              <w:rPr>
                <w:rFonts w:ascii="Courier New" w:hAnsi="Courier New"/>
                <w:sz w:val="17"/>
              </w:rPr>
              <w:br/>
              <w:t xml:space="preserve">  cimetidine OR nizatidine OR sucralfate OR almagate)</w:t>
            </w:r>
            <w:r>
              <w:rPr>
                <w:rFonts w:ascii="Courier New" w:hAnsi="Courier New"/>
                <w:sz w:val="17"/>
              </w:rPr>
              <w:br/>
              <w:t xml:space="preserve">  AND</w:t>
            </w:r>
            <w:r>
              <w:rPr>
                <w:rFonts w:ascii="Courier New" w:hAnsi="Courier New"/>
                <w:sz w:val="17"/>
              </w:rPr>
              <w:br/>
              <w:t xml:space="preserve">  ("gastrointestinal bleeding" OR "gastrointestinal hemorrhage" OR</w:t>
            </w:r>
            <w:r>
              <w:rPr>
                <w:rFonts w:ascii="Courier New" w:hAnsi="Courier New"/>
                <w:sz w:val="17"/>
              </w:rPr>
              <w:br/>
              <w:t xml:space="preserve">  "peptic ulcer" OR "stress ulcer" OR "gastric ulcer" OR</w:t>
            </w:r>
            <w:r>
              <w:rPr>
                <w:rFonts w:ascii="Courier New" w:hAnsi="Courier New"/>
                <w:sz w:val="17"/>
              </w:rPr>
              <w:br/>
              <w:t xml:space="preserve">  "duodenal ulcer" OR "gastric pH")</w:t>
            </w:r>
            <w:r>
              <w:rPr>
                <w:rFonts w:ascii="Courier New" w:hAnsi="Courier New"/>
                <w:sz w:val="17"/>
              </w:rPr>
              <w:br/>
              <w:t xml:space="preserve">  AND</w:t>
            </w:r>
            <w:r>
              <w:rPr>
                <w:rFonts w:ascii="Courier New" w:hAnsi="Courier New"/>
                <w:sz w:val="17"/>
              </w:rPr>
              <w:br/>
              <w:t xml:space="preserve">  (pediatric* OR paediatric* OR child* OR infant* OR neonat*)</w:t>
            </w:r>
            <w:r>
              <w:rPr>
                <w:rFonts w:ascii="Courier New" w:hAnsi="Courier New"/>
                <w:sz w:val="17"/>
              </w:rPr>
              <w:br/>
              <w:t xml:space="preserve">  AND</w:t>
            </w:r>
            <w:r>
              <w:rPr>
                <w:rFonts w:ascii="Courier New" w:hAnsi="Courier New"/>
                <w:sz w:val="17"/>
              </w:rPr>
              <w:br/>
              <w:t xml:space="preserve">  ("intensive care" OR "pediatric intensive care" OR ICU OR PICU OR</w:t>
            </w:r>
            <w:r>
              <w:rPr>
                <w:rFonts w:ascii="Courier New" w:hAnsi="Courier New"/>
                <w:sz w:val="17"/>
              </w:rPr>
              <w:br/>
              <w:t xml:space="preserve">  "critical care" OR "cardiac surgery" OR "cardiopulmonary bypass" OR</w:t>
            </w:r>
            <w:r>
              <w:rPr>
                <w:rFonts w:ascii="Courier New" w:hAnsi="Courier New"/>
                <w:sz w:val="17"/>
              </w:rPr>
              <w:br/>
              <w:t xml:space="preserve">  ECMO OR "postoperative care" OR "major surgery" OR</w:t>
            </w:r>
            <w:r>
              <w:rPr>
                <w:rFonts w:ascii="Courier New" w:hAnsi="Courier New"/>
                <w:sz w:val="17"/>
              </w:rPr>
              <w:br/>
              <w:t xml:space="preserve">  "mechanical ventilation" OR "vasoactive support" OR</w:t>
            </w:r>
            <w:r>
              <w:rPr>
                <w:rFonts w:ascii="Courier New" w:hAnsi="Courier New"/>
                <w:sz w:val="17"/>
              </w:rPr>
              <w:br/>
              <w:t xml:space="preserve">  "inotropic support")</w:t>
            </w:r>
            <w:r>
              <w:rPr>
                <w:rFonts w:ascii="Courier New" w:hAnsi="Courier New"/>
                <w:sz w:val="17"/>
              </w:rPr>
              <w:br/>
              <w:t>)</w:t>
            </w:r>
          </w:p>
        </w:tc>
      </w:tr>
    </w:tbl>
    <w:p w14:paraId="61F99566" w14:textId="77777777" w:rsidR="00FF4F00" w:rsidRDefault="00FF4F00">
      <w:pPr>
        <w:spacing w:after="80"/>
      </w:pPr>
    </w:p>
    <w:p w14:paraId="3EE558B9" w14:textId="77777777" w:rsidR="00FF4F00" w:rsidRDefault="00794277">
      <w:pPr>
        <w:spacing w:before="240" w:after="60"/>
      </w:pPr>
      <w:r>
        <w:rPr>
          <w:b/>
          <w:i/>
          <w:sz w:val="24"/>
        </w:rPr>
        <w:t>Web of Science Core Collection</w:t>
      </w:r>
      <w:r>
        <w:t xml:space="preserve">  (n = 79)</w:t>
      </w:r>
    </w:p>
    <w:tbl>
      <w:tblPr>
        <w:tblStyle w:val="afe"/>
        <w:tblW w:w="0" w:type="auto"/>
        <w:tblLook w:val="04A0" w:firstRow="1" w:lastRow="0" w:firstColumn="1" w:lastColumn="0" w:noHBand="0" w:noVBand="1"/>
      </w:tblPr>
      <w:tblGrid>
        <w:gridCol w:w="9266"/>
      </w:tblGrid>
      <w:tr w:rsidR="00FF4F00" w14:paraId="5C48EA47" w14:textId="77777777">
        <w:tc>
          <w:tcPr>
            <w:tcW w:w="9360" w:type="dxa"/>
            <w:shd w:val="clear" w:color="auto" w:fill="F5F5F5"/>
            <w:tcMar>
              <w:top w:w="120" w:type="dxa"/>
              <w:left w:w="120" w:type="dxa"/>
              <w:bottom w:w="120" w:type="dxa"/>
              <w:right w:w="120" w:type="dxa"/>
            </w:tcMar>
          </w:tcPr>
          <w:p w14:paraId="7F8995E8" w14:textId="77777777" w:rsidR="00FF4F00" w:rsidRDefault="00794277">
            <w:r>
              <w:rPr>
                <w:rFonts w:ascii="Courier New" w:hAnsi="Courier New"/>
                <w:sz w:val="17"/>
              </w:rPr>
              <w:t>TS=(</w:t>
            </w:r>
            <w:r>
              <w:rPr>
                <w:rFonts w:ascii="Courier New" w:hAnsi="Courier New"/>
                <w:sz w:val="17"/>
              </w:rPr>
              <w:br/>
              <w:t xml:space="preserve">  "proton pump inhibitor*" OR H2RA OR "histamine H2 antagonist*" OR</w:t>
            </w:r>
            <w:r>
              <w:rPr>
                <w:rFonts w:ascii="Courier New" w:hAnsi="Courier New"/>
                <w:sz w:val="17"/>
              </w:rPr>
              <w:br/>
              <w:t xml:space="preserve">  "acid suppression" OR omeprazole OR pantoprazole OR lansoprazole OR</w:t>
            </w:r>
            <w:r>
              <w:rPr>
                <w:rFonts w:ascii="Courier New" w:hAnsi="Courier New"/>
                <w:sz w:val="17"/>
              </w:rPr>
              <w:br/>
              <w:t xml:space="preserve">  rabeprazole OR esomeprazole OR famotidine OR ranitidine OR</w:t>
            </w:r>
            <w:r>
              <w:rPr>
                <w:rFonts w:ascii="Courier New" w:hAnsi="Courier New"/>
                <w:sz w:val="17"/>
              </w:rPr>
              <w:br/>
              <w:t xml:space="preserve">  cimetidine OR nizatidine OR sucralfate OR almagate</w:t>
            </w:r>
            <w:r>
              <w:rPr>
                <w:rFonts w:ascii="Courier New" w:hAnsi="Courier New"/>
                <w:sz w:val="17"/>
              </w:rPr>
              <w:br/>
              <w:t>)</w:t>
            </w:r>
            <w:r>
              <w:rPr>
                <w:rFonts w:ascii="Courier New" w:hAnsi="Courier New"/>
                <w:sz w:val="17"/>
              </w:rPr>
              <w:br/>
              <w:t>AND</w:t>
            </w:r>
            <w:r>
              <w:rPr>
                <w:rFonts w:ascii="Courier New" w:hAnsi="Courier New"/>
                <w:sz w:val="17"/>
              </w:rPr>
              <w:br/>
              <w:t>TS=(</w:t>
            </w:r>
            <w:r>
              <w:rPr>
                <w:rFonts w:ascii="Courier New" w:hAnsi="Courier New"/>
                <w:sz w:val="17"/>
              </w:rPr>
              <w:br/>
              <w:t xml:space="preserve">  "gastrointestinal bleeding" OR "gastrointestinal hemorrhage" OR</w:t>
            </w:r>
            <w:r>
              <w:rPr>
                <w:rFonts w:ascii="Courier New" w:hAnsi="Courier New"/>
                <w:sz w:val="17"/>
              </w:rPr>
              <w:br/>
              <w:t xml:space="preserve">  "peptic ulcer" OR "stress ulcer" OR "gastric ulcer" OR</w:t>
            </w:r>
            <w:r>
              <w:rPr>
                <w:rFonts w:ascii="Courier New" w:hAnsi="Courier New"/>
                <w:sz w:val="17"/>
              </w:rPr>
              <w:br/>
              <w:t xml:space="preserve">  "duodenal ulcer" OR "gastric pH"</w:t>
            </w:r>
            <w:r>
              <w:rPr>
                <w:rFonts w:ascii="Courier New" w:hAnsi="Courier New"/>
                <w:sz w:val="17"/>
              </w:rPr>
              <w:br/>
              <w:t>)</w:t>
            </w:r>
            <w:r>
              <w:rPr>
                <w:rFonts w:ascii="Courier New" w:hAnsi="Courier New"/>
                <w:sz w:val="17"/>
              </w:rPr>
              <w:br/>
            </w:r>
            <w:r>
              <w:rPr>
                <w:rFonts w:ascii="Courier New" w:hAnsi="Courier New"/>
                <w:sz w:val="17"/>
              </w:rPr>
              <w:lastRenderedPageBreak/>
              <w:t>AND</w:t>
            </w:r>
            <w:r>
              <w:rPr>
                <w:rFonts w:ascii="Courier New" w:hAnsi="Courier New"/>
                <w:sz w:val="17"/>
              </w:rPr>
              <w:br/>
              <w:t>TS=(</w:t>
            </w:r>
            <w:r>
              <w:rPr>
                <w:rFonts w:ascii="Courier New" w:hAnsi="Courier New"/>
                <w:sz w:val="17"/>
              </w:rPr>
              <w:br/>
              <w:t xml:space="preserve">  pediatric* OR paediatric* OR child* OR infant* OR neonat*</w:t>
            </w:r>
            <w:r>
              <w:rPr>
                <w:rFonts w:ascii="Courier New" w:hAnsi="Courier New"/>
                <w:sz w:val="17"/>
              </w:rPr>
              <w:br/>
              <w:t>)</w:t>
            </w:r>
            <w:r>
              <w:rPr>
                <w:rFonts w:ascii="Courier New" w:hAnsi="Courier New"/>
                <w:sz w:val="17"/>
              </w:rPr>
              <w:br/>
              <w:t>AND</w:t>
            </w:r>
            <w:r>
              <w:rPr>
                <w:rFonts w:ascii="Courier New" w:hAnsi="Courier New"/>
                <w:sz w:val="17"/>
              </w:rPr>
              <w:br/>
              <w:t>TS=(</w:t>
            </w:r>
            <w:r>
              <w:rPr>
                <w:rFonts w:ascii="Courier New" w:hAnsi="Courier New"/>
                <w:sz w:val="17"/>
              </w:rPr>
              <w:br/>
              <w:t xml:space="preserve">  "intensive care" OR "pediatric intensive care" OR ICU OR PICU OR</w:t>
            </w:r>
            <w:r>
              <w:rPr>
                <w:rFonts w:ascii="Courier New" w:hAnsi="Courier New"/>
                <w:sz w:val="17"/>
              </w:rPr>
              <w:br/>
              <w:t xml:space="preserve">  "critical care" OR "cardiac surgery" OR</w:t>
            </w:r>
            <w:r>
              <w:rPr>
                <w:rFonts w:ascii="Courier New" w:hAnsi="Courier New"/>
                <w:sz w:val="17"/>
              </w:rPr>
              <w:br/>
              <w:t xml:space="preserve">  "cardiopulmonary bypass" OR ECMO OR</w:t>
            </w:r>
            <w:r>
              <w:rPr>
                <w:rFonts w:ascii="Courier New" w:hAnsi="Courier New"/>
                <w:sz w:val="17"/>
              </w:rPr>
              <w:br/>
              <w:t xml:space="preserve">  "postoperative care" OR "major surgery" OR</w:t>
            </w:r>
            <w:r>
              <w:rPr>
                <w:rFonts w:ascii="Courier New" w:hAnsi="Courier New"/>
                <w:sz w:val="17"/>
              </w:rPr>
              <w:br/>
              <w:t xml:space="preserve">  "mechanical ventilation" OR "vasoactive support" OR</w:t>
            </w:r>
            <w:r>
              <w:rPr>
                <w:rFonts w:ascii="Courier New" w:hAnsi="Courier New"/>
                <w:sz w:val="17"/>
              </w:rPr>
              <w:br/>
              <w:t xml:space="preserve">  "inotropic support"</w:t>
            </w:r>
            <w:r>
              <w:rPr>
                <w:rFonts w:ascii="Courier New" w:hAnsi="Courier New"/>
                <w:sz w:val="17"/>
              </w:rPr>
              <w:br/>
              <w:t>)</w:t>
            </w:r>
          </w:p>
        </w:tc>
      </w:tr>
    </w:tbl>
    <w:p w14:paraId="74508F84" w14:textId="77777777" w:rsidR="00FF4F00" w:rsidRDefault="00FF4F00">
      <w:pPr>
        <w:spacing w:after="80"/>
      </w:pPr>
    </w:p>
    <w:p w14:paraId="519EA01B" w14:textId="77777777" w:rsidR="00FF4F00" w:rsidRDefault="00794277">
      <w:pPr>
        <w:spacing w:before="240" w:after="60"/>
      </w:pPr>
      <w:r>
        <w:rPr>
          <w:b/>
          <w:i/>
          <w:sz w:val="24"/>
        </w:rPr>
        <w:t>医中誌（</w:t>
      </w:r>
      <w:r>
        <w:rPr>
          <w:b/>
          <w:i/>
          <w:sz w:val="24"/>
        </w:rPr>
        <w:t xml:space="preserve">Igaku Chuo Zasshi, </w:t>
      </w:r>
      <w:r>
        <w:rPr>
          <w:b/>
          <w:i/>
          <w:sz w:val="24"/>
        </w:rPr>
        <w:t>医中誌</w:t>
      </w:r>
      <w:r>
        <w:rPr>
          <w:b/>
          <w:i/>
          <w:sz w:val="24"/>
        </w:rPr>
        <w:t>Web</w:t>
      </w:r>
      <w:r>
        <w:rPr>
          <w:b/>
          <w:i/>
          <w:sz w:val="24"/>
        </w:rPr>
        <w:t>）</w:t>
      </w:r>
      <w:r>
        <w:t xml:space="preserve">  (n = 8)</w:t>
      </w:r>
    </w:p>
    <w:tbl>
      <w:tblPr>
        <w:tblStyle w:val="afe"/>
        <w:tblW w:w="0" w:type="auto"/>
        <w:tblLook w:val="04A0" w:firstRow="1" w:lastRow="0" w:firstColumn="1" w:lastColumn="0" w:noHBand="0" w:noVBand="1"/>
      </w:tblPr>
      <w:tblGrid>
        <w:gridCol w:w="9266"/>
      </w:tblGrid>
      <w:tr w:rsidR="00FF4F00" w14:paraId="0534747F" w14:textId="77777777">
        <w:tc>
          <w:tcPr>
            <w:tcW w:w="9360" w:type="dxa"/>
            <w:shd w:val="clear" w:color="auto" w:fill="F5F5F5"/>
            <w:tcMar>
              <w:top w:w="120" w:type="dxa"/>
              <w:left w:w="120" w:type="dxa"/>
              <w:bottom w:w="120" w:type="dxa"/>
              <w:right w:w="120" w:type="dxa"/>
            </w:tcMar>
          </w:tcPr>
          <w:p w14:paraId="52824869" w14:textId="77777777" w:rsidR="00786ED9" w:rsidRPr="00CF528D" w:rsidRDefault="00786ED9" w:rsidP="00786ED9">
            <w:pPr>
              <w:rPr>
                <w:sz w:val="16"/>
                <w:szCs w:val="16"/>
                <w:lang w:eastAsia="ja-JP"/>
              </w:rPr>
            </w:pPr>
            <w:r>
              <w:rPr>
                <w:sz w:val="16"/>
                <w:szCs w:val="16"/>
                <w:lang w:eastAsia="ja-JP"/>
              </w:rPr>
              <w:t>("</w:t>
            </w:r>
            <w:r>
              <w:rPr>
                <w:sz w:val="16"/>
                <w:szCs w:val="16"/>
                <w:lang w:eastAsia="ja-JP"/>
              </w:rPr>
              <w:t>プロトンポンプ阻害薬</w:t>
            </w:r>
            <w:r>
              <w:rPr>
                <w:sz w:val="16"/>
                <w:szCs w:val="16"/>
                <w:lang w:eastAsia="ja-JP"/>
              </w:rPr>
              <w:t>"[</w:t>
            </w:r>
            <w:r>
              <w:rPr>
                <w:sz w:val="16"/>
                <w:szCs w:val="16"/>
                <w:lang w:eastAsia="ja-JP"/>
              </w:rPr>
              <w:t>統制語</w:t>
            </w:r>
            <w:r>
              <w:rPr>
                <w:sz w:val="16"/>
                <w:szCs w:val="16"/>
                <w:lang w:eastAsia="ja-JP"/>
              </w:rPr>
              <w:t>] OR "</w:t>
            </w:r>
            <w:r>
              <w:rPr>
                <w:sz w:val="16"/>
                <w:szCs w:val="16"/>
                <w:lang w:eastAsia="ja-JP"/>
              </w:rPr>
              <w:t>ヒスタミン</w:t>
            </w:r>
            <w:r>
              <w:rPr>
                <w:sz w:val="16"/>
                <w:szCs w:val="16"/>
                <w:lang w:eastAsia="ja-JP"/>
              </w:rPr>
              <w:t>H2</w:t>
            </w:r>
            <w:r>
              <w:rPr>
                <w:sz w:val="16"/>
                <w:szCs w:val="16"/>
                <w:lang w:eastAsia="ja-JP"/>
              </w:rPr>
              <w:t>受容体拮抗薬</w:t>
            </w:r>
            <w:r>
              <w:rPr>
                <w:sz w:val="16"/>
                <w:szCs w:val="16"/>
                <w:lang w:eastAsia="ja-JP"/>
              </w:rPr>
              <w:t>"[</w:t>
            </w:r>
            <w:r>
              <w:rPr>
                <w:sz w:val="16"/>
                <w:szCs w:val="16"/>
                <w:lang w:eastAsia="ja-JP"/>
              </w:rPr>
              <w:t>統制語</w:t>
            </w:r>
            <w:r>
              <w:rPr>
                <w:sz w:val="16"/>
                <w:szCs w:val="16"/>
                <w:lang w:eastAsia="ja-JP"/>
              </w:rPr>
              <w:t>]</w:t>
            </w:r>
            <w:r>
              <w:rPr>
                <w:rFonts w:hint="eastAsia"/>
                <w:sz w:val="16"/>
                <w:szCs w:val="16"/>
                <w:lang w:eastAsia="ja-JP"/>
              </w:rPr>
              <w:t xml:space="preserve"> </w:t>
            </w:r>
            <w:r>
              <w:rPr>
                <w:sz w:val="16"/>
                <w:szCs w:val="16"/>
                <w:lang w:eastAsia="ja-JP"/>
              </w:rPr>
              <w:t xml:space="preserve">OR PPI OR H2RA OR </w:t>
            </w:r>
            <w:r>
              <w:rPr>
                <w:sz w:val="16"/>
                <w:szCs w:val="16"/>
                <w:lang w:eastAsia="ja-JP"/>
              </w:rPr>
              <w:t>制酸薬</w:t>
            </w:r>
            <w:r>
              <w:rPr>
                <w:sz w:val="16"/>
                <w:szCs w:val="16"/>
                <w:lang w:eastAsia="ja-JP"/>
              </w:rPr>
              <w:t xml:space="preserve"> OR </w:t>
            </w:r>
            <w:r>
              <w:rPr>
                <w:sz w:val="16"/>
                <w:szCs w:val="16"/>
                <w:lang w:eastAsia="ja-JP"/>
              </w:rPr>
              <w:t>酸分泌抑制</w:t>
            </w:r>
            <w:r>
              <w:rPr>
                <w:sz w:val="16"/>
                <w:szCs w:val="16"/>
                <w:lang w:eastAsia="ja-JP"/>
              </w:rPr>
              <w:t xml:space="preserve"> OR </w:t>
            </w:r>
            <w:r>
              <w:rPr>
                <w:sz w:val="16"/>
                <w:szCs w:val="16"/>
                <w:lang w:eastAsia="ja-JP"/>
              </w:rPr>
              <w:t>胃酸抑制</w:t>
            </w:r>
            <w:r>
              <w:rPr>
                <w:sz w:val="16"/>
                <w:szCs w:val="16"/>
                <w:lang w:eastAsia="ja-JP"/>
              </w:rPr>
              <w:t xml:space="preserve">OR </w:t>
            </w:r>
            <w:r>
              <w:rPr>
                <w:sz w:val="16"/>
                <w:szCs w:val="16"/>
                <w:lang w:eastAsia="ja-JP"/>
              </w:rPr>
              <w:t>オメプラゾール</w:t>
            </w:r>
            <w:r>
              <w:rPr>
                <w:sz w:val="16"/>
                <w:szCs w:val="16"/>
                <w:lang w:eastAsia="ja-JP"/>
              </w:rPr>
              <w:t xml:space="preserve"> OR </w:t>
            </w:r>
            <w:r>
              <w:rPr>
                <w:sz w:val="16"/>
                <w:szCs w:val="16"/>
                <w:lang w:eastAsia="ja-JP"/>
              </w:rPr>
              <w:t>ランソプラゾール</w:t>
            </w:r>
            <w:r>
              <w:rPr>
                <w:sz w:val="16"/>
                <w:szCs w:val="16"/>
                <w:lang w:eastAsia="ja-JP"/>
              </w:rPr>
              <w:t xml:space="preserve"> OR </w:t>
            </w:r>
            <w:r>
              <w:rPr>
                <w:sz w:val="16"/>
                <w:szCs w:val="16"/>
                <w:lang w:eastAsia="ja-JP"/>
              </w:rPr>
              <w:t>パンテプラゾール</w:t>
            </w:r>
            <w:r>
              <w:rPr>
                <w:sz w:val="16"/>
                <w:szCs w:val="16"/>
                <w:lang w:eastAsia="ja-JP"/>
              </w:rPr>
              <w:t xml:space="preserve">  OR </w:t>
            </w:r>
            <w:r>
              <w:rPr>
                <w:sz w:val="16"/>
                <w:szCs w:val="16"/>
                <w:lang w:eastAsia="ja-JP"/>
              </w:rPr>
              <w:t>ラベプラゾール</w:t>
            </w:r>
            <w:r>
              <w:rPr>
                <w:sz w:val="16"/>
                <w:szCs w:val="16"/>
                <w:lang w:eastAsia="ja-JP"/>
              </w:rPr>
              <w:t xml:space="preserve"> OR </w:t>
            </w:r>
            <w:r>
              <w:rPr>
                <w:sz w:val="16"/>
                <w:szCs w:val="16"/>
                <w:lang w:eastAsia="ja-JP"/>
              </w:rPr>
              <w:t>エソメプラゾール</w:t>
            </w:r>
            <w:r>
              <w:rPr>
                <w:sz w:val="16"/>
                <w:szCs w:val="16"/>
                <w:lang w:eastAsia="ja-JP"/>
              </w:rPr>
              <w:t xml:space="preserve">OR </w:t>
            </w:r>
            <w:r>
              <w:rPr>
                <w:sz w:val="16"/>
                <w:szCs w:val="16"/>
                <w:lang w:eastAsia="ja-JP"/>
              </w:rPr>
              <w:t>ファモチジン</w:t>
            </w:r>
            <w:r>
              <w:rPr>
                <w:sz w:val="16"/>
                <w:szCs w:val="16"/>
                <w:lang w:eastAsia="ja-JP"/>
              </w:rPr>
              <w:t xml:space="preserve"> OR </w:t>
            </w:r>
            <w:r>
              <w:rPr>
                <w:sz w:val="16"/>
                <w:szCs w:val="16"/>
                <w:lang w:eastAsia="ja-JP"/>
              </w:rPr>
              <w:t>ラニチジン</w:t>
            </w:r>
            <w:r>
              <w:rPr>
                <w:sz w:val="16"/>
                <w:szCs w:val="16"/>
                <w:lang w:eastAsia="ja-JP"/>
              </w:rPr>
              <w:t xml:space="preserve"> OR </w:t>
            </w:r>
            <w:r>
              <w:rPr>
                <w:sz w:val="16"/>
                <w:szCs w:val="16"/>
                <w:lang w:eastAsia="ja-JP"/>
              </w:rPr>
              <w:t>シメチジン</w:t>
            </w:r>
            <w:r>
              <w:rPr>
                <w:sz w:val="16"/>
                <w:szCs w:val="16"/>
                <w:lang w:eastAsia="ja-JP"/>
              </w:rPr>
              <w:t xml:space="preserve"> OR </w:t>
            </w:r>
            <w:r>
              <w:rPr>
                <w:sz w:val="16"/>
                <w:szCs w:val="16"/>
                <w:lang w:eastAsia="ja-JP"/>
              </w:rPr>
              <w:t>ニザチジン</w:t>
            </w:r>
            <w:r>
              <w:rPr>
                <w:sz w:val="16"/>
                <w:szCs w:val="16"/>
                <w:lang w:eastAsia="ja-JP"/>
              </w:rPr>
              <w:t xml:space="preserve">OR </w:t>
            </w:r>
            <w:r>
              <w:rPr>
                <w:sz w:val="16"/>
                <w:szCs w:val="16"/>
                <w:lang w:eastAsia="ja-JP"/>
              </w:rPr>
              <w:t>スクラルファート</w:t>
            </w:r>
            <w:r>
              <w:rPr>
                <w:sz w:val="16"/>
                <w:szCs w:val="16"/>
                <w:lang w:eastAsia="ja-JP"/>
              </w:rPr>
              <w:t xml:space="preserve"> OR </w:t>
            </w:r>
            <w:r>
              <w:rPr>
                <w:sz w:val="16"/>
                <w:szCs w:val="16"/>
                <w:lang w:eastAsia="ja-JP"/>
              </w:rPr>
              <w:t>アルマゲート</w:t>
            </w:r>
            <w:r>
              <w:rPr>
                <w:sz w:val="16"/>
                <w:szCs w:val="16"/>
                <w:lang w:eastAsia="ja-JP"/>
              </w:rPr>
              <w:t>)</w:t>
            </w:r>
          </w:p>
          <w:p w14:paraId="6B20CB65" w14:textId="77777777" w:rsidR="00786ED9" w:rsidRPr="00CF528D" w:rsidRDefault="00786ED9" w:rsidP="00786ED9">
            <w:pPr>
              <w:rPr>
                <w:sz w:val="16"/>
                <w:szCs w:val="16"/>
              </w:rPr>
            </w:pPr>
            <w:r>
              <w:rPr>
                <w:rFonts w:hint="eastAsia"/>
                <w:sz w:val="16"/>
                <w:szCs w:val="16"/>
              </w:rPr>
              <w:t>AND</w:t>
            </w:r>
          </w:p>
          <w:p w14:paraId="6427C711" w14:textId="77777777" w:rsidR="00786ED9" w:rsidRPr="00CF528D" w:rsidRDefault="00786ED9" w:rsidP="00786ED9">
            <w:pPr>
              <w:rPr>
                <w:sz w:val="16"/>
                <w:szCs w:val="16"/>
              </w:rPr>
            </w:pPr>
            <w:r>
              <w:rPr>
                <w:sz w:val="16"/>
                <w:szCs w:val="16"/>
              </w:rPr>
              <w:t>( "</w:t>
            </w:r>
            <w:r>
              <w:rPr>
                <w:sz w:val="16"/>
                <w:szCs w:val="16"/>
              </w:rPr>
              <w:t>消化管出血</w:t>
            </w:r>
            <w:r>
              <w:rPr>
                <w:sz w:val="16"/>
                <w:szCs w:val="16"/>
              </w:rPr>
              <w:t>"[</w:t>
            </w:r>
            <w:r>
              <w:rPr>
                <w:sz w:val="16"/>
                <w:szCs w:val="16"/>
              </w:rPr>
              <w:t>統制語</w:t>
            </w:r>
            <w:r>
              <w:rPr>
                <w:sz w:val="16"/>
                <w:szCs w:val="16"/>
              </w:rPr>
              <w:t>] OR "</w:t>
            </w:r>
            <w:r>
              <w:rPr>
                <w:sz w:val="16"/>
                <w:szCs w:val="16"/>
              </w:rPr>
              <w:t>消化性潰瘍</w:t>
            </w:r>
            <w:r>
              <w:rPr>
                <w:sz w:val="16"/>
                <w:szCs w:val="16"/>
              </w:rPr>
              <w:t>"[</w:t>
            </w:r>
            <w:r>
              <w:rPr>
                <w:sz w:val="16"/>
                <w:szCs w:val="16"/>
              </w:rPr>
              <w:t>統制語</w:t>
            </w:r>
            <w:r>
              <w:rPr>
                <w:sz w:val="16"/>
                <w:szCs w:val="16"/>
              </w:rPr>
              <w:t xml:space="preserve">] OR </w:t>
            </w:r>
            <w:r>
              <w:rPr>
                <w:sz w:val="16"/>
                <w:szCs w:val="16"/>
              </w:rPr>
              <w:t>胃出血</w:t>
            </w:r>
            <w:r>
              <w:rPr>
                <w:sz w:val="16"/>
                <w:szCs w:val="16"/>
              </w:rPr>
              <w:t xml:space="preserve"> OR </w:t>
            </w:r>
            <w:r>
              <w:rPr>
                <w:sz w:val="16"/>
                <w:szCs w:val="16"/>
              </w:rPr>
              <w:t>胃潰瘍</w:t>
            </w:r>
            <w:r>
              <w:rPr>
                <w:sz w:val="16"/>
                <w:szCs w:val="16"/>
              </w:rPr>
              <w:t xml:space="preserve"> OR </w:t>
            </w:r>
            <w:r>
              <w:rPr>
                <w:sz w:val="16"/>
                <w:szCs w:val="16"/>
              </w:rPr>
              <w:t>十二指腸潰瘍</w:t>
            </w:r>
            <w:r>
              <w:rPr>
                <w:sz w:val="16"/>
                <w:szCs w:val="16"/>
              </w:rPr>
              <w:t>OR  "</w:t>
            </w:r>
            <w:r>
              <w:rPr>
                <w:sz w:val="16"/>
                <w:szCs w:val="16"/>
              </w:rPr>
              <w:t>ストレス潰瘍</w:t>
            </w:r>
            <w:r>
              <w:rPr>
                <w:sz w:val="16"/>
                <w:szCs w:val="16"/>
              </w:rPr>
              <w:t>" OR "</w:t>
            </w:r>
            <w:r>
              <w:rPr>
                <w:sz w:val="16"/>
                <w:szCs w:val="16"/>
              </w:rPr>
              <w:t>胃</w:t>
            </w:r>
            <w:r>
              <w:rPr>
                <w:sz w:val="16"/>
                <w:szCs w:val="16"/>
              </w:rPr>
              <w:t>pH")</w:t>
            </w:r>
            <w:r>
              <w:rPr>
                <w:sz w:val="16"/>
                <w:szCs w:val="16"/>
              </w:rPr>
              <w:br/>
            </w:r>
            <w:r>
              <w:rPr>
                <w:rFonts w:hint="eastAsia"/>
                <w:sz w:val="16"/>
                <w:szCs w:val="16"/>
              </w:rPr>
              <w:t>AND</w:t>
            </w:r>
          </w:p>
          <w:p w14:paraId="650CCE3C" w14:textId="77777777" w:rsidR="00786ED9" w:rsidRPr="00CF528D" w:rsidRDefault="00786ED9" w:rsidP="00786ED9">
            <w:pPr>
              <w:rPr>
                <w:sz w:val="16"/>
                <w:szCs w:val="16"/>
              </w:rPr>
            </w:pPr>
            <w:r>
              <w:rPr>
                <w:sz w:val="16"/>
                <w:szCs w:val="16"/>
              </w:rPr>
              <w:t>( "</w:t>
            </w:r>
            <w:r>
              <w:rPr>
                <w:sz w:val="16"/>
                <w:szCs w:val="16"/>
              </w:rPr>
              <w:t>小児</w:t>
            </w:r>
            <w:r>
              <w:rPr>
                <w:sz w:val="16"/>
                <w:szCs w:val="16"/>
              </w:rPr>
              <w:t>"[</w:t>
            </w:r>
            <w:r>
              <w:rPr>
                <w:sz w:val="16"/>
                <w:szCs w:val="16"/>
              </w:rPr>
              <w:t>統制語</w:t>
            </w:r>
            <w:r>
              <w:rPr>
                <w:sz w:val="16"/>
                <w:szCs w:val="16"/>
              </w:rPr>
              <w:t>] OR "</w:t>
            </w:r>
            <w:r>
              <w:rPr>
                <w:sz w:val="16"/>
                <w:szCs w:val="16"/>
              </w:rPr>
              <w:t>乳児</w:t>
            </w:r>
            <w:r>
              <w:rPr>
                <w:sz w:val="16"/>
                <w:szCs w:val="16"/>
              </w:rPr>
              <w:t>"[</w:t>
            </w:r>
            <w:r>
              <w:rPr>
                <w:sz w:val="16"/>
                <w:szCs w:val="16"/>
              </w:rPr>
              <w:t>統制語</w:t>
            </w:r>
            <w:r>
              <w:rPr>
                <w:sz w:val="16"/>
                <w:szCs w:val="16"/>
              </w:rPr>
              <w:t>] OR "</w:t>
            </w:r>
            <w:r>
              <w:rPr>
                <w:sz w:val="16"/>
                <w:szCs w:val="16"/>
              </w:rPr>
              <w:t>新生児</w:t>
            </w:r>
            <w:r>
              <w:rPr>
                <w:sz w:val="16"/>
                <w:szCs w:val="16"/>
              </w:rPr>
              <w:t>"[</w:t>
            </w:r>
            <w:r>
              <w:rPr>
                <w:sz w:val="16"/>
                <w:szCs w:val="16"/>
              </w:rPr>
              <w:t>統制語</w:t>
            </w:r>
            <w:r>
              <w:rPr>
                <w:sz w:val="16"/>
                <w:szCs w:val="16"/>
              </w:rPr>
              <w:t>] OR "</w:t>
            </w:r>
            <w:r>
              <w:rPr>
                <w:sz w:val="16"/>
                <w:szCs w:val="16"/>
              </w:rPr>
              <w:t>学童</w:t>
            </w:r>
            <w:r>
              <w:rPr>
                <w:sz w:val="16"/>
                <w:szCs w:val="16"/>
              </w:rPr>
              <w:t>"[</w:t>
            </w:r>
            <w:r>
              <w:rPr>
                <w:sz w:val="16"/>
                <w:szCs w:val="16"/>
              </w:rPr>
              <w:t>統制語</w:t>
            </w:r>
            <w:r>
              <w:rPr>
                <w:sz w:val="16"/>
                <w:szCs w:val="16"/>
              </w:rPr>
              <w:t xml:space="preserve">] OR </w:t>
            </w:r>
            <w:r>
              <w:rPr>
                <w:sz w:val="16"/>
                <w:szCs w:val="16"/>
              </w:rPr>
              <w:t>小児</w:t>
            </w:r>
            <w:r>
              <w:rPr>
                <w:sz w:val="16"/>
                <w:szCs w:val="16"/>
              </w:rPr>
              <w:t xml:space="preserve"> OR </w:t>
            </w:r>
            <w:r>
              <w:rPr>
                <w:sz w:val="16"/>
                <w:szCs w:val="16"/>
              </w:rPr>
              <w:t>乳児</w:t>
            </w:r>
            <w:r>
              <w:rPr>
                <w:sz w:val="16"/>
                <w:szCs w:val="16"/>
              </w:rPr>
              <w:t xml:space="preserve"> OR </w:t>
            </w:r>
            <w:r>
              <w:rPr>
                <w:sz w:val="16"/>
                <w:szCs w:val="16"/>
              </w:rPr>
              <w:t>新生児</w:t>
            </w:r>
            <w:r>
              <w:rPr>
                <w:sz w:val="16"/>
                <w:szCs w:val="16"/>
              </w:rPr>
              <w:t xml:space="preserve"> OR </w:t>
            </w:r>
            <w:r>
              <w:rPr>
                <w:sz w:val="16"/>
                <w:szCs w:val="16"/>
              </w:rPr>
              <w:t>幼児</w:t>
            </w:r>
            <w:r>
              <w:rPr>
                <w:sz w:val="16"/>
                <w:szCs w:val="16"/>
              </w:rPr>
              <w:t xml:space="preserve"> OR </w:t>
            </w:r>
            <w:r>
              <w:rPr>
                <w:sz w:val="16"/>
                <w:szCs w:val="16"/>
              </w:rPr>
              <w:t>学童</w:t>
            </w:r>
            <w:r>
              <w:rPr>
                <w:sz w:val="16"/>
                <w:szCs w:val="16"/>
              </w:rPr>
              <w:t>)</w:t>
            </w:r>
          </w:p>
          <w:p w14:paraId="2324F8C7" w14:textId="77777777" w:rsidR="00786ED9" w:rsidRPr="00CF528D" w:rsidRDefault="00786ED9" w:rsidP="00786ED9">
            <w:pPr>
              <w:rPr>
                <w:sz w:val="16"/>
                <w:szCs w:val="16"/>
              </w:rPr>
            </w:pPr>
            <w:r>
              <w:rPr>
                <w:rFonts w:hint="eastAsia"/>
                <w:sz w:val="16"/>
                <w:szCs w:val="16"/>
              </w:rPr>
              <w:t>AND</w:t>
            </w:r>
          </w:p>
          <w:p w14:paraId="5C68AAE1" w14:textId="77777777" w:rsidR="00786ED9" w:rsidRPr="00CF528D" w:rsidRDefault="00786ED9" w:rsidP="00786ED9">
            <w:pPr>
              <w:rPr>
                <w:sz w:val="16"/>
                <w:szCs w:val="16"/>
              </w:rPr>
            </w:pPr>
            <w:r>
              <w:rPr>
                <w:sz w:val="16"/>
                <w:szCs w:val="16"/>
              </w:rPr>
              <w:t>("</w:t>
            </w:r>
            <w:r>
              <w:rPr>
                <w:sz w:val="16"/>
                <w:szCs w:val="16"/>
              </w:rPr>
              <w:t>小児集中治療</w:t>
            </w:r>
            <w:r>
              <w:rPr>
                <w:sz w:val="16"/>
                <w:szCs w:val="16"/>
              </w:rPr>
              <w:t>"[</w:t>
            </w:r>
            <w:r>
              <w:rPr>
                <w:sz w:val="16"/>
                <w:szCs w:val="16"/>
              </w:rPr>
              <w:t>統制語</w:t>
            </w:r>
            <w:r>
              <w:rPr>
                <w:sz w:val="16"/>
                <w:szCs w:val="16"/>
              </w:rPr>
              <w:t>] OR ICU OR PICU OR “</w:t>
            </w:r>
            <w:r>
              <w:rPr>
                <w:rFonts w:hint="eastAsia"/>
                <w:sz w:val="16"/>
                <w:szCs w:val="16"/>
              </w:rPr>
              <w:t>集中治療</w:t>
            </w:r>
            <w:r>
              <w:rPr>
                <w:sz w:val="16"/>
                <w:szCs w:val="16"/>
              </w:rPr>
              <w:t>”</w:t>
            </w:r>
            <w:r>
              <w:rPr>
                <w:rFonts w:hint="eastAsia"/>
                <w:sz w:val="16"/>
                <w:szCs w:val="16"/>
              </w:rPr>
              <w:t xml:space="preserve"> OR</w:t>
            </w:r>
            <w:r>
              <w:rPr>
                <w:sz w:val="16"/>
                <w:szCs w:val="16"/>
              </w:rPr>
              <w:t xml:space="preserve"> "</w:t>
            </w:r>
            <w:r>
              <w:rPr>
                <w:sz w:val="16"/>
                <w:szCs w:val="16"/>
              </w:rPr>
              <w:t>心臓手術</w:t>
            </w:r>
            <w:r>
              <w:rPr>
                <w:sz w:val="16"/>
                <w:szCs w:val="16"/>
              </w:rPr>
              <w:t>" OR "</w:t>
            </w:r>
            <w:r>
              <w:rPr>
                <w:sz w:val="16"/>
                <w:szCs w:val="16"/>
              </w:rPr>
              <w:t>体外循環</w:t>
            </w:r>
            <w:r>
              <w:rPr>
                <w:sz w:val="16"/>
                <w:szCs w:val="16"/>
              </w:rPr>
              <w:t xml:space="preserve">" OR </w:t>
            </w:r>
            <w:r>
              <w:rPr>
                <w:rFonts w:hint="eastAsia"/>
                <w:sz w:val="16"/>
                <w:szCs w:val="16"/>
              </w:rPr>
              <w:t xml:space="preserve"> ECMO </w:t>
            </w:r>
            <w:r>
              <w:rPr>
                <w:sz w:val="16"/>
                <w:szCs w:val="16"/>
              </w:rPr>
              <w:t>OR "</w:t>
            </w:r>
            <w:r>
              <w:rPr>
                <w:sz w:val="16"/>
                <w:szCs w:val="16"/>
              </w:rPr>
              <w:t>術後管理</w:t>
            </w:r>
            <w:r>
              <w:rPr>
                <w:sz w:val="16"/>
                <w:szCs w:val="16"/>
              </w:rPr>
              <w:t>"</w:t>
            </w:r>
            <w:r>
              <w:rPr>
                <w:rFonts w:hint="eastAsia"/>
                <w:sz w:val="16"/>
                <w:szCs w:val="16"/>
              </w:rPr>
              <w:t xml:space="preserve"> OR </w:t>
            </w:r>
            <w:r>
              <w:rPr>
                <w:sz w:val="16"/>
                <w:szCs w:val="16"/>
              </w:rPr>
              <w:t>"</w:t>
            </w:r>
            <w:r>
              <w:rPr>
                <w:rFonts w:hint="eastAsia"/>
                <w:sz w:val="16"/>
                <w:szCs w:val="16"/>
              </w:rPr>
              <w:t>大手術</w:t>
            </w:r>
            <w:r>
              <w:rPr>
                <w:sz w:val="16"/>
                <w:szCs w:val="16"/>
              </w:rPr>
              <w:t>"</w:t>
            </w:r>
            <w:r>
              <w:rPr>
                <w:rFonts w:hint="eastAsia"/>
                <w:sz w:val="16"/>
                <w:szCs w:val="16"/>
              </w:rPr>
              <w:t xml:space="preserve"> OR </w:t>
            </w:r>
            <w:r>
              <w:rPr>
                <w:sz w:val="16"/>
                <w:szCs w:val="16"/>
              </w:rPr>
              <w:t>"</w:t>
            </w:r>
            <w:r>
              <w:rPr>
                <w:sz w:val="16"/>
                <w:szCs w:val="16"/>
              </w:rPr>
              <w:t>人工呼吸</w:t>
            </w:r>
            <w:r>
              <w:rPr>
                <w:sz w:val="16"/>
                <w:szCs w:val="16"/>
              </w:rPr>
              <w:t>" OR "</w:t>
            </w:r>
            <w:r>
              <w:rPr>
                <w:sz w:val="16"/>
                <w:szCs w:val="16"/>
              </w:rPr>
              <w:t>強心薬</w:t>
            </w:r>
            <w:r>
              <w:rPr>
                <w:sz w:val="16"/>
                <w:szCs w:val="16"/>
              </w:rPr>
              <w:t>" OR "</w:t>
            </w:r>
            <w:r>
              <w:rPr>
                <w:sz w:val="16"/>
                <w:szCs w:val="16"/>
              </w:rPr>
              <w:t>昇圧薬</w:t>
            </w:r>
            <w:r>
              <w:rPr>
                <w:sz w:val="16"/>
                <w:szCs w:val="16"/>
              </w:rPr>
              <w:t>”</w:t>
            </w:r>
            <w:r>
              <w:rPr>
                <w:rFonts w:hint="eastAsia"/>
                <w:sz w:val="16"/>
                <w:szCs w:val="16"/>
              </w:rPr>
              <w:t xml:space="preserve"> </w:t>
            </w:r>
            <w:r>
              <w:rPr>
                <w:sz w:val="16"/>
                <w:szCs w:val="16"/>
              </w:rPr>
              <w:t>)</w:t>
            </w:r>
          </w:p>
          <w:p w14:paraId="4D710E0A" w14:textId="0757E895" w:rsidR="00FF4F00" w:rsidRDefault="00FF4F00"/>
        </w:tc>
      </w:tr>
    </w:tbl>
    <w:p w14:paraId="4865DDF7" w14:textId="77777777" w:rsidR="00FF4F00" w:rsidRDefault="00FF4F00">
      <w:pPr>
        <w:spacing w:after="80"/>
      </w:pPr>
    </w:p>
    <w:p w14:paraId="07011E8E" w14:textId="77777777" w:rsidR="00FF4F00" w:rsidRDefault="00794277">
      <w:r>
        <w:br w:type="page"/>
      </w:r>
    </w:p>
    <w:p w14:paraId="50FDEE8C" w14:textId="77777777" w:rsidR="00FF4F00" w:rsidRDefault="00794277">
      <w:pPr>
        <w:spacing w:before="360" w:after="120"/>
      </w:pPr>
      <w:r>
        <w:rPr>
          <w:b/>
          <w:sz w:val="26"/>
        </w:rPr>
        <w:lastRenderedPageBreak/>
        <w:t>Appendix 2. Full Eligibility Criteria — Exclusion Criteria</w:t>
      </w:r>
    </w:p>
    <w:p w14:paraId="38B55D35" w14:textId="77777777" w:rsidR="00FF4F00" w:rsidRDefault="00794277">
      <w:pPr>
        <w:spacing w:after="120"/>
      </w:pPr>
      <w:r>
        <w:t>The following study types were excluded from the systematic review:</w:t>
      </w:r>
    </w:p>
    <w:p w14:paraId="20C586C2" w14:textId="77777777" w:rsidR="00FF4F00" w:rsidRDefault="00794277">
      <w:pPr>
        <w:pStyle w:val="a0"/>
        <w:spacing w:after="60"/>
      </w:pPr>
      <w:r>
        <w:t>Studies focusing exclusively on adult patients (age &gt;18 years)</w:t>
      </w:r>
    </w:p>
    <w:p w14:paraId="54CF8569" w14:textId="77777777" w:rsidR="00FF4F00" w:rsidRDefault="00794277">
      <w:pPr>
        <w:pStyle w:val="a0"/>
        <w:spacing w:after="60"/>
      </w:pPr>
      <w:r>
        <w:t>Studies that combined adult and pediatric populations without providing a separate analysis for the pediatric group</w:t>
      </w:r>
    </w:p>
    <w:p w14:paraId="383DEB2E" w14:textId="77777777" w:rsidR="00FF4F00" w:rsidRDefault="00794277">
      <w:pPr>
        <w:pStyle w:val="a0"/>
        <w:spacing w:after="60"/>
      </w:pPr>
      <w:r>
        <w:t>Studies examining acid-suppressive drugs for treatment of established gastrointestinal conditions (e.g., gastroesophageal reflux disease, peptic ulcer disease) rather than prophylaxis</w:t>
      </w:r>
    </w:p>
    <w:p w14:paraId="3A741BFA" w14:textId="77777777" w:rsidR="00FF4F00" w:rsidRDefault="00794277">
      <w:pPr>
        <w:pStyle w:val="a0"/>
        <w:spacing w:after="60"/>
      </w:pPr>
      <w:r>
        <w:t>Studies conducted exclusively in neonatal intensive care units (NICUs)</w:t>
      </w:r>
    </w:p>
    <w:p w14:paraId="13621E9D" w14:textId="77777777" w:rsidR="00FF4F00" w:rsidRDefault="00794277">
      <w:pPr>
        <w:pStyle w:val="a0"/>
        <w:spacing w:after="60"/>
      </w:pPr>
      <w:r>
        <w:t>Studies where the primary intervention was not acid suppression (e.g., antibiotics, steroids)</w:t>
      </w:r>
    </w:p>
    <w:p w14:paraId="363D29E1" w14:textId="77777777" w:rsidR="00FF4F00" w:rsidRDefault="00794277">
      <w:pPr>
        <w:pStyle w:val="a0"/>
        <w:spacing w:after="60"/>
      </w:pPr>
      <w:r>
        <w:t>Review articles, editorials, commentaries, case reports, case series, conference abstracts, and letters to the editor</w:t>
      </w:r>
    </w:p>
    <w:p w14:paraId="637C6318" w14:textId="77777777" w:rsidR="00FF4F00" w:rsidRDefault="00794277">
      <w:pPr>
        <w:pStyle w:val="a0"/>
        <w:spacing w:after="60"/>
      </w:pPr>
      <w:r>
        <w:t>Non-peer-reviewed publications</w:t>
      </w:r>
    </w:p>
    <w:p w14:paraId="35F27F10" w14:textId="77777777" w:rsidR="00FF4F00" w:rsidRDefault="00794277">
      <w:pPr>
        <w:pStyle w:val="a0"/>
        <w:spacing w:after="60"/>
      </w:pPr>
      <w:r>
        <w:t>Studies not reporting data on a control group (no comparator arm)</w:t>
      </w:r>
    </w:p>
    <w:p w14:paraId="33015F81" w14:textId="77777777" w:rsidR="00FF4F00" w:rsidRDefault="00794277">
      <w:r>
        <w:br w:type="page"/>
      </w:r>
    </w:p>
    <w:p w14:paraId="56B9B7C5" w14:textId="77777777" w:rsidR="00FF4F00" w:rsidRDefault="00794277">
      <w:pPr>
        <w:spacing w:before="360" w:after="120"/>
      </w:pPr>
      <w:r>
        <w:rPr>
          <w:b/>
          <w:sz w:val="26"/>
        </w:rPr>
        <w:lastRenderedPageBreak/>
        <w:t>Appendix 3. Outcome Definitions and Rationale for Primary Outcome Selection</w:t>
      </w:r>
    </w:p>
    <w:p w14:paraId="2DCBED97" w14:textId="77777777" w:rsidR="00FF4F00" w:rsidRDefault="00794277">
      <w:pPr>
        <w:spacing w:before="240" w:after="80"/>
      </w:pPr>
      <w:r>
        <w:rPr>
          <w:b/>
          <w:i/>
          <w:sz w:val="24"/>
        </w:rPr>
        <w:t>Primary Outcome — Any Upper Gastrointestinal Bleeding (UGIB)</w:t>
      </w:r>
    </w:p>
    <w:p w14:paraId="0366785A" w14:textId="6BA91239" w:rsidR="00FF4F00" w:rsidRDefault="00794277">
      <w:pPr>
        <w:spacing w:after="120"/>
        <w:rPr>
          <w:lang w:eastAsia="ja-JP"/>
        </w:rPr>
      </w:pPr>
      <w:r>
        <w:t xml:space="preserve">Upper gastrointestinal bleeding (UGIB) was defined according to each individual study's criteria, as no consensus definition exists across pediatric critical care trials. Reported definitions included overt bleeding manifestations such as hematemesis, melena, hematochezia, or blood aspirated from a nasogastric tube, with or without endoscopic confirmation. Given this variability, clinical heterogeneity in the definition of UGIB was anticipated a priori and was considered a potential source of heterogeneity in the pooled analysis (see also Supplementary Table 2). </w:t>
      </w:r>
    </w:p>
    <w:p w14:paraId="0D23B48B" w14:textId="1440749D" w:rsidR="00FF4F00" w:rsidRDefault="00794277">
      <w:pPr>
        <w:spacing w:after="120"/>
      </w:pPr>
      <w:r>
        <w:t xml:space="preserve">Any UGIB was selected as the primary outcome — rather than clinically significant gastrointestinal bleeding — to maximize the number of studies eligible for quantitative synthesis, given the low event rates and limited reporting of clinically significant gastrointestinal bleeding in the pediatric critical care literature. </w:t>
      </w:r>
    </w:p>
    <w:p w14:paraId="616C4A84" w14:textId="6A811272" w:rsidR="001173D6" w:rsidRDefault="001173D6">
      <w:pPr>
        <w:spacing w:after="120"/>
      </w:pPr>
      <w:r>
        <w:t>Studies reporting only a subset of upper gastrointestinal bleeding outcomes (e.g., clinically important bleeding alone) without data on the overall incidence were excluded from quantitative synthesis.</w:t>
      </w:r>
    </w:p>
    <w:p w14:paraId="2DD1F38B" w14:textId="77777777" w:rsidR="00FF4F00" w:rsidRDefault="00794277">
      <w:pPr>
        <w:spacing w:before="240" w:after="80"/>
      </w:pPr>
      <w:r>
        <w:rPr>
          <w:b/>
          <w:i/>
          <w:sz w:val="24"/>
        </w:rPr>
        <w:t>Key Secondary Outcome — Clinically Significant Gastrointestinal Bleeding</w:t>
      </w:r>
    </w:p>
    <w:p w14:paraId="6A78D411" w14:textId="77777777" w:rsidR="00FF4F00" w:rsidRDefault="00794277">
      <w:pPr>
        <w:spacing w:after="120"/>
      </w:pPr>
      <w:r>
        <w:t>Clinically significant gastrointestinal bleeding was defined as overt gastrointestinal bleeding accompanied by at least one of the following: a hemodynamically significant decrease in blood pressure or heart rate, a drop in hemoglobin of ≥20 g/L within 24 hours, or the requirement for blood transfusion, endoscopic intervention, or surgical management. As with UGIB, definitions were adopted from each individual study where a uniform definition was not available. clinically significant gastrointestinal bleeding was designated as a key secondary outcome because it represents the clinically most important subset of UGIB and is the outcome most commonly used in adult SUP trials, thereby facilitating indirect comparison with the adult literature. However, given its low event rate in the pediatric population, the analysis was anticipated to be underpowered.</w:t>
      </w:r>
    </w:p>
    <w:p w14:paraId="386C6F56" w14:textId="77777777" w:rsidR="00FF4F00" w:rsidRDefault="00794277">
      <w:pPr>
        <w:spacing w:before="240" w:after="80"/>
      </w:pPr>
      <w:r>
        <w:rPr>
          <w:b/>
          <w:i/>
          <w:sz w:val="24"/>
        </w:rPr>
        <w:t>Key Secondary Outcome — All-Cause Mortality</w:t>
      </w:r>
    </w:p>
    <w:p w14:paraId="32F803F2" w14:textId="77777777" w:rsidR="00FF4F00" w:rsidRDefault="00794277">
      <w:pPr>
        <w:spacing w:after="120"/>
      </w:pPr>
      <w:r>
        <w:t>Mortality was defined as all-cause in-hospital mortality or ICU mortality, as reported by each individual study. When multiple mortality endpoints were reported (e.g., 28-day and hospital mortality), the longest available follow-up was used.</w:t>
      </w:r>
    </w:p>
    <w:p w14:paraId="6FBC1C40" w14:textId="77777777" w:rsidR="00FF4F00" w:rsidRDefault="00794277">
      <w:pPr>
        <w:spacing w:before="240" w:after="80"/>
      </w:pPr>
      <w:r>
        <w:rPr>
          <w:b/>
          <w:i/>
          <w:sz w:val="24"/>
        </w:rPr>
        <w:t>Key Secondary Outcome — Ventilator-Associated Pneumonia (VAP)</w:t>
      </w:r>
    </w:p>
    <w:p w14:paraId="1E94AC14" w14:textId="77777777" w:rsidR="00FF4F00" w:rsidRDefault="00794277">
      <w:pPr>
        <w:spacing w:after="120"/>
      </w:pPr>
      <w:r>
        <w:t>VAP was defined according to each individual study's criteria, as uniform diagnostic criteria were not applied across trials. Definitions generally required the presence of a new or progressive pulmonary infiltrate on chest radiograph combined with clinical signs of infection (fever, leukocytosis, or purulent secretions) in patients receiving mechanical ventilation for more than 48 hours.</w:t>
      </w:r>
    </w:p>
    <w:p w14:paraId="489A333D" w14:textId="1F5D150A" w:rsidR="00FF4F00" w:rsidRDefault="00794277">
      <w:pPr>
        <w:spacing w:before="240" w:after="80"/>
      </w:pPr>
      <w:r>
        <w:rPr>
          <w:b/>
          <w:i/>
          <w:sz w:val="24"/>
        </w:rPr>
        <w:t>Expl</w:t>
      </w:r>
      <w:r>
        <w:rPr>
          <w:rFonts w:hint="eastAsia"/>
          <w:b/>
          <w:i/>
          <w:sz w:val="24"/>
          <w:lang w:eastAsia="ja-JP"/>
        </w:rPr>
        <w:t>or</w:t>
      </w:r>
      <w:r>
        <w:rPr>
          <w:b/>
          <w:i/>
          <w:sz w:val="24"/>
        </w:rPr>
        <w:t>atory Secondary Outcomes</w:t>
      </w:r>
    </w:p>
    <w:p w14:paraId="5EAC78EF" w14:textId="12E128A8" w:rsidR="00FF4F00" w:rsidRDefault="00794277">
      <w:pPr>
        <w:spacing w:after="120"/>
      </w:pPr>
      <w:r>
        <w:t>Expl</w:t>
      </w:r>
      <w:r>
        <w:rPr>
          <w:rFonts w:hint="eastAsia"/>
          <w:lang w:eastAsia="ja-JP"/>
        </w:rPr>
        <w:t>or</w:t>
      </w:r>
      <w:r>
        <w:t>atory secondary outcomes included ICU length of stay, nosocomial infections (including central line–associated bloodstream infection [CLABSI] and Clostridioides difficile infection), and other adverse effects. These outcomes were analyzed when data from at least two studies were available for pooling. Definitions were adopted from each individual study.</w:t>
      </w:r>
    </w:p>
    <w:p w14:paraId="19A8577F" w14:textId="77777777" w:rsidR="00FF4F00" w:rsidRDefault="00794277">
      <w:r>
        <w:br w:type="page"/>
      </w:r>
    </w:p>
    <w:p w14:paraId="6A31617A" w14:textId="77777777" w:rsidR="00FF4F00" w:rsidRDefault="00794277">
      <w:pPr>
        <w:spacing w:before="360" w:after="120"/>
      </w:pPr>
      <w:r>
        <w:rPr>
          <w:b/>
          <w:sz w:val="26"/>
        </w:rPr>
        <w:lastRenderedPageBreak/>
        <w:t>Appendix 4. Data Extraction Items</w:t>
      </w:r>
    </w:p>
    <w:p w14:paraId="037563F5" w14:textId="77777777" w:rsidR="00FF4F00" w:rsidRDefault="00794277">
      <w:pPr>
        <w:spacing w:after="120"/>
      </w:pPr>
      <w:r>
        <w:t>Two reviewers independently extracted the following information using a predesigned extraction form. Disagreements were resolved by discussion; if consensus could not be reached, a third reviewer adjudicated.</w:t>
      </w:r>
    </w:p>
    <w:p w14:paraId="4988714A" w14:textId="77777777" w:rsidR="00FF4F00" w:rsidRDefault="00794277">
      <w:pPr>
        <w:spacing w:after="40"/>
      </w:pPr>
      <w:r>
        <w:rPr>
          <w:b/>
        </w:rPr>
        <w:t>Basic study characteristics</w:t>
      </w:r>
    </w:p>
    <w:p w14:paraId="126F0212" w14:textId="77777777" w:rsidR="00FF4F00" w:rsidRDefault="00794277">
      <w:pPr>
        <w:pStyle w:val="a0"/>
        <w:spacing w:after="60"/>
      </w:pPr>
      <w:r>
        <w:t>Author(s), year of publication, country, language of publication</w:t>
      </w:r>
    </w:p>
    <w:p w14:paraId="47AF2C61" w14:textId="77777777" w:rsidR="00FF4F00" w:rsidRDefault="00794277">
      <w:pPr>
        <w:pStyle w:val="a0"/>
        <w:spacing w:after="60"/>
      </w:pPr>
      <w:r>
        <w:t>Funding source and conflicts of interest</w:t>
      </w:r>
    </w:p>
    <w:p w14:paraId="264655CA" w14:textId="77777777" w:rsidR="00FF4F00" w:rsidRDefault="00794277">
      <w:pPr>
        <w:pStyle w:val="a0"/>
        <w:spacing w:after="60"/>
      </w:pPr>
      <w:r>
        <w:t>Study design (RCT, prospective cohort, retrospective cohort, case-control)</w:t>
      </w:r>
    </w:p>
    <w:p w14:paraId="7355E3F9" w14:textId="77777777" w:rsidR="00FF4F00" w:rsidRDefault="00794277">
      <w:pPr>
        <w:pStyle w:val="a0"/>
        <w:spacing w:after="60"/>
      </w:pPr>
      <w:r>
        <w:t>Study duration and date of data collection</w:t>
      </w:r>
    </w:p>
    <w:p w14:paraId="4117AD23" w14:textId="77777777" w:rsidR="00FF4F00" w:rsidRDefault="00794277">
      <w:pPr>
        <w:pStyle w:val="a0"/>
        <w:spacing w:after="60"/>
      </w:pPr>
      <w:r>
        <w:t>Study registration status</w:t>
      </w:r>
    </w:p>
    <w:p w14:paraId="4459DDEC" w14:textId="77777777" w:rsidR="00FF4F00" w:rsidRDefault="00794277">
      <w:pPr>
        <w:spacing w:after="40"/>
      </w:pPr>
      <w:r>
        <w:rPr>
          <w:b/>
        </w:rPr>
        <w:t>Participant characteristics</w:t>
      </w:r>
    </w:p>
    <w:p w14:paraId="46A38824" w14:textId="77777777" w:rsidR="00FF4F00" w:rsidRDefault="00794277">
      <w:pPr>
        <w:pStyle w:val="a0"/>
        <w:spacing w:after="60"/>
      </w:pPr>
      <w:r>
        <w:t>Total sample size (intervention and control groups)</w:t>
      </w:r>
    </w:p>
    <w:p w14:paraId="0AAAAC04" w14:textId="77777777" w:rsidR="00FF4F00" w:rsidRDefault="00794277">
      <w:pPr>
        <w:pStyle w:val="a0"/>
        <w:spacing w:after="60"/>
      </w:pPr>
      <w:r>
        <w:t>Age range, median, and/or mean age of participants</w:t>
      </w:r>
    </w:p>
    <w:p w14:paraId="5095CE40" w14:textId="77777777" w:rsidR="00FF4F00" w:rsidRDefault="00794277">
      <w:pPr>
        <w:pStyle w:val="a0"/>
        <w:spacing w:after="60"/>
      </w:pPr>
      <w:r>
        <w:t>Sex distribution</w:t>
      </w:r>
    </w:p>
    <w:p w14:paraId="1E163AF4" w14:textId="77777777" w:rsidR="00FF4F00" w:rsidRDefault="00794277">
      <w:pPr>
        <w:pStyle w:val="a0"/>
        <w:spacing w:after="60"/>
      </w:pPr>
      <w:r>
        <w:t>Clinical setting (PICU, general ICU, cardiac ICU, post-operative care)</w:t>
      </w:r>
    </w:p>
    <w:p w14:paraId="55E063FA" w14:textId="77777777" w:rsidR="00FF4F00" w:rsidRDefault="00794277">
      <w:pPr>
        <w:pStyle w:val="a0"/>
        <w:spacing w:after="60"/>
      </w:pPr>
      <w:r>
        <w:t>Inclusion and exclusion criteria applied in the original study</w:t>
      </w:r>
    </w:p>
    <w:p w14:paraId="1C6856A6" w14:textId="77777777" w:rsidR="00FF4F00" w:rsidRDefault="00794277">
      <w:pPr>
        <w:pStyle w:val="a0"/>
        <w:spacing w:after="60"/>
      </w:pPr>
      <w:r>
        <w:t>Baseline illness severity (PRISM, PELOD, pSOFA score, if reported)</w:t>
      </w:r>
    </w:p>
    <w:p w14:paraId="69D0D633" w14:textId="77777777" w:rsidR="00FF4F00" w:rsidRDefault="00794277">
      <w:pPr>
        <w:pStyle w:val="a0"/>
        <w:spacing w:after="60"/>
      </w:pPr>
      <w:r>
        <w:t>Proportion receiving mechanical ventilation</w:t>
      </w:r>
    </w:p>
    <w:p w14:paraId="0BB64FB4" w14:textId="77777777" w:rsidR="00FF4F00" w:rsidRDefault="00794277">
      <w:pPr>
        <w:pStyle w:val="a0"/>
        <w:spacing w:after="60"/>
      </w:pPr>
      <w:r>
        <w:t>Proportion with coagulopathy</w:t>
      </w:r>
    </w:p>
    <w:p w14:paraId="6C1C5274" w14:textId="77777777" w:rsidR="00FF4F00" w:rsidRDefault="00794277">
      <w:pPr>
        <w:spacing w:after="40"/>
      </w:pPr>
      <w:r>
        <w:rPr>
          <w:b/>
        </w:rPr>
        <w:t>Intervention and comparator details</w:t>
      </w:r>
    </w:p>
    <w:p w14:paraId="15941079" w14:textId="77777777" w:rsidR="00FF4F00" w:rsidRDefault="00794277">
      <w:pPr>
        <w:pStyle w:val="a0"/>
        <w:spacing w:after="60"/>
      </w:pPr>
      <w:r>
        <w:t>Agent name (PPI, H2RA, sucralfate, antacid, or combination)</w:t>
      </w:r>
    </w:p>
    <w:p w14:paraId="6C48ADD3" w14:textId="77777777" w:rsidR="00FF4F00" w:rsidRDefault="00794277">
      <w:pPr>
        <w:pStyle w:val="a0"/>
        <w:spacing w:after="60"/>
      </w:pPr>
      <w:r>
        <w:t>Dose, frequency, and route of administration (IV, enteral)</w:t>
      </w:r>
    </w:p>
    <w:p w14:paraId="3B415683" w14:textId="77777777" w:rsidR="00FF4F00" w:rsidRDefault="00794277">
      <w:pPr>
        <w:pStyle w:val="a0"/>
        <w:spacing w:after="60"/>
      </w:pPr>
      <w:r>
        <w:t>Duration of prophylaxis</w:t>
      </w:r>
    </w:p>
    <w:p w14:paraId="54A0B7EE" w14:textId="77777777" w:rsidR="00FF4F00" w:rsidRDefault="00794277">
      <w:pPr>
        <w:pStyle w:val="a0"/>
        <w:spacing w:after="60"/>
      </w:pPr>
      <w:r>
        <w:t>Comparator (placebo, no treatment, alternative agent)</w:t>
      </w:r>
    </w:p>
    <w:p w14:paraId="34BD0538" w14:textId="77777777" w:rsidR="00FF4F00" w:rsidRDefault="00794277">
      <w:pPr>
        <w:spacing w:after="40"/>
      </w:pPr>
      <w:r>
        <w:rPr>
          <w:b/>
        </w:rPr>
        <w:t>Outcome data</w:t>
      </w:r>
    </w:p>
    <w:p w14:paraId="527E146D" w14:textId="77777777" w:rsidR="00FF4F00" w:rsidRDefault="00794277">
      <w:pPr>
        <w:pStyle w:val="a0"/>
        <w:spacing w:after="60"/>
      </w:pPr>
      <w:r>
        <w:t>Number of events and total patients for each dichotomous outcome by group</w:t>
      </w:r>
    </w:p>
    <w:p w14:paraId="49E286B1" w14:textId="77777777" w:rsidR="00FF4F00" w:rsidRDefault="00794277">
      <w:pPr>
        <w:pStyle w:val="a0"/>
        <w:spacing w:after="60"/>
      </w:pPr>
      <w:r>
        <w:t>Mean (SD) or median (IQR) for continuous outcomes by group</w:t>
      </w:r>
    </w:p>
    <w:p w14:paraId="12562020" w14:textId="77777777" w:rsidR="00FF4F00" w:rsidRDefault="00794277">
      <w:pPr>
        <w:pStyle w:val="a0"/>
        <w:spacing w:after="60"/>
      </w:pPr>
      <w:r>
        <w:t>Definitions used for each outcome as reported by the study</w:t>
      </w:r>
    </w:p>
    <w:p w14:paraId="0D1B2DB7" w14:textId="77777777" w:rsidR="00FF4F00" w:rsidRDefault="00794277">
      <w:pPr>
        <w:pStyle w:val="a0"/>
        <w:spacing w:after="60"/>
      </w:pPr>
      <w:r>
        <w:t>Time point(s) of outcome measurement</w:t>
      </w:r>
    </w:p>
    <w:p w14:paraId="66B580E6" w14:textId="77777777" w:rsidR="00FF4F00" w:rsidRDefault="00794277">
      <w:pPr>
        <w:spacing w:after="40"/>
      </w:pPr>
      <w:r>
        <w:rPr>
          <w:b/>
        </w:rPr>
        <w:t>Risk of bias assessment</w:t>
      </w:r>
    </w:p>
    <w:p w14:paraId="5C1ED2F7" w14:textId="77777777" w:rsidR="00FF4F00" w:rsidRDefault="00794277">
      <w:pPr>
        <w:pStyle w:val="a0"/>
        <w:spacing w:after="60"/>
      </w:pPr>
      <w:r>
        <w:t>Domain-specific risk of bias judgments (RoB 2 or ROBINS-I V2)</w:t>
      </w:r>
    </w:p>
    <w:p w14:paraId="25903EA6" w14:textId="77777777" w:rsidR="00FF4F00" w:rsidRDefault="00794277">
      <w:pPr>
        <w:pStyle w:val="a0"/>
        <w:spacing w:after="60"/>
      </w:pPr>
      <w:r>
        <w:t>Overall risk of bias rating</w:t>
      </w:r>
    </w:p>
    <w:p w14:paraId="29C035E1" w14:textId="77777777" w:rsidR="00FF4F00" w:rsidRDefault="00794277">
      <w:r>
        <w:br w:type="page"/>
      </w:r>
    </w:p>
    <w:p w14:paraId="72DEB513" w14:textId="77777777" w:rsidR="00FF4F00" w:rsidRDefault="00794277">
      <w:pPr>
        <w:spacing w:before="360" w:after="120"/>
      </w:pPr>
      <w:r>
        <w:rPr>
          <w:b/>
          <w:sz w:val="26"/>
        </w:rPr>
        <w:lastRenderedPageBreak/>
        <w:t>Appendix 5. Sensitivity and Subgroup Analyses — Detailed Rationale</w:t>
      </w:r>
    </w:p>
    <w:p w14:paraId="64D586B2" w14:textId="77777777" w:rsidR="00FF4F00" w:rsidRDefault="00794277">
      <w:pPr>
        <w:spacing w:before="240" w:after="80"/>
      </w:pPr>
      <w:r>
        <w:rPr>
          <w:b/>
          <w:i/>
          <w:sz w:val="24"/>
        </w:rPr>
        <w:t>Sensitivity Analyses</w:t>
      </w:r>
    </w:p>
    <w:p w14:paraId="6E9D50F9" w14:textId="77777777" w:rsidR="00FF4F00" w:rsidRDefault="00794277">
      <w:pPr>
        <w:spacing w:after="120"/>
      </w:pPr>
      <w:r>
        <w:t>Sensitivity analyses were conducted to assess the robustness of the primary findings:</w:t>
      </w:r>
    </w:p>
    <w:p w14:paraId="24385965" w14:textId="77777777" w:rsidR="00FF4F00" w:rsidRDefault="00794277">
      <w:pPr>
        <w:spacing w:after="120"/>
      </w:pPr>
      <w:r>
        <w:t>First, an exploratory pooled analysis including observational studies with moderate or lower risk of bias was planned to examine consistency of results across study designs. This analysis was not performed because all 11 observational studies were rated as having critical risk of bias on ROBINS-I V2 assessment.</w:t>
      </w:r>
    </w:p>
    <w:p w14:paraId="20CA31C3" w14:textId="2A2C8795" w:rsidR="00FF4F00" w:rsidRDefault="00794277">
      <w:pPr>
        <w:spacing w:after="120"/>
      </w:pPr>
      <w:r>
        <w:t>Second, to assess whether the primary findings were robust to the exclusion of lower-quality evidence, analyses were repeated restricted to RCTs judged to have low risk of bias or some concerns on RoB 2 (i.e., excluding studies with high risk of bias). This analysis was performed and results are presented in Supplementary Fig. 3.</w:t>
      </w:r>
    </w:p>
    <w:p w14:paraId="07E3D6EA" w14:textId="77777777" w:rsidR="00FF4F00" w:rsidRDefault="00794277">
      <w:pPr>
        <w:spacing w:before="240" w:after="80"/>
      </w:pPr>
      <w:r>
        <w:rPr>
          <w:b/>
          <w:i/>
          <w:sz w:val="24"/>
        </w:rPr>
        <w:t>Subgroup Analyses — Detailed Rationale</w:t>
      </w:r>
    </w:p>
    <w:p w14:paraId="4AB89703" w14:textId="77777777" w:rsidR="00FF4F00" w:rsidRDefault="00794277">
      <w:pPr>
        <w:spacing w:after="120"/>
      </w:pPr>
      <w:r>
        <w:t>Subgroup analyses were prespecified for the primary outcome to explore potential sources of heterogeneity. Analyses were conducted only among RCTs to preserve the benefits of randomization. The following subgroups were defined:</w:t>
      </w:r>
    </w:p>
    <w:p w14:paraId="26863D49" w14:textId="77777777" w:rsidR="00FF4F00" w:rsidRDefault="00794277">
      <w:pPr>
        <w:spacing w:after="40"/>
      </w:pPr>
      <w:r>
        <w:rPr>
          <w:b/>
        </w:rPr>
        <w:t>Type of prophylactic agent (PPI vs. control; H2RA vs. control, stratified by agent type)</w:t>
      </w:r>
    </w:p>
    <w:p w14:paraId="06E9E247" w14:textId="77777777" w:rsidR="00FF4F00" w:rsidRDefault="00794277">
      <w:pPr>
        <w:spacing w:after="120"/>
        <w:ind w:left="360"/>
      </w:pPr>
      <w:r>
        <w:t>Different acid-suppressive agents have distinct mechanisms, potency, and safety profiles. This subgroup analysis categorized RCTs according to the type of prophylactic agent used (PPI or H2RA), with each study's effect estimate representing the comparison between the specified agent and its control group (placebo or no treatment). Studies using PPIs were pooled separately from studies using H2RAs; this is not a head-to-head comparison between PPIs and H2RAs.</w:t>
      </w:r>
    </w:p>
    <w:p w14:paraId="559A7F94" w14:textId="77777777" w:rsidR="00FF4F00" w:rsidRDefault="00794277">
      <w:pPr>
        <w:spacing w:after="40"/>
      </w:pPr>
      <w:r>
        <w:rPr>
          <w:b/>
        </w:rPr>
        <w:t>Underlying condition</w:t>
      </w:r>
    </w:p>
    <w:p w14:paraId="231D3D0A" w14:textId="77777777" w:rsidR="00FF4F00" w:rsidRDefault="00794277">
      <w:pPr>
        <w:spacing w:after="120"/>
        <w:ind w:left="360"/>
      </w:pPr>
      <w:r>
        <w:t>The risk of stress-related mucosal injury may differ substantially across disease categories (e.g., post-cardiac surgery, sepsis, trauma, respiratory failure). Identifying subgroups with higher baseline risk could inform targeted prophylaxis strategies.</w:t>
      </w:r>
    </w:p>
    <w:p w14:paraId="33BB6E2B" w14:textId="77777777" w:rsidR="00FF4F00" w:rsidRDefault="00794277">
      <w:pPr>
        <w:spacing w:after="40"/>
      </w:pPr>
      <w:r>
        <w:rPr>
          <w:b/>
        </w:rPr>
        <w:t>Disease severity</w:t>
      </w:r>
    </w:p>
    <w:p w14:paraId="387E30AD" w14:textId="77777777" w:rsidR="00FF4F00" w:rsidRDefault="00794277">
      <w:pPr>
        <w:spacing w:after="120"/>
        <w:ind w:left="360"/>
      </w:pPr>
      <w:r>
        <w:t>Higher illness severity scores are established risk factors for UGIB. This analysis was intended to assess whether treatment effects were larger in more severely ill patients.</w:t>
      </w:r>
    </w:p>
    <w:p w14:paraId="5C1E3A82" w14:textId="77777777" w:rsidR="00FF4F00" w:rsidRDefault="00794277">
      <w:pPr>
        <w:spacing w:after="40"/>
      </w:pPr>
      <w:r>
        <w:rPr>
          <w:b/>
        </w:rPr>
        <w:t>Mechanical ventilation status</w:t>
      </w:r>
    </w:p>
    <w:p w14:paraId="0EB76904" w14:textId="77777777" w:rsidR="00FF4F00" w:rsidRDefault="00794277">
      <w:pPr>
        <w:spacing w:after="120"/>
        <w:ind w:left="360"/>
      </w:pPr>
      <w:r>
        <w:t>Mechanical ventilation is one of the most consistently identified independent risk factors for UGIB in critically ill children. Patients receiving mechanical ventilation may constitute a higher-risk subgroup that benefits preferentially from SUP.</w:t>
      </w:r>
    </w:p>
    <w:p w14:paraId="2D44857D" w14:textId="77777777" w:rsidR="00FF4F00" w:rsidRDefault="00794277">
      <w:pPr>
        <w:spacing w:after="40"/>
      </w:pPr>
      <w:r>
        <w:rPr>
          <w:b/>
        </w:rPr>
        <w:t>Coagulopathy</w:t>
      </w:r>
    </w:p>
    <w:p w14:paraId="38C1C761" w14:textId="77777777" w:rsidR="00FF4F00" w:rsidRDefault="00794277">
      <w:pPr>
        <w:spacing w:after="120"/>
        <w:ind w:left="360"/>
      </w:pPr>
      <w:r>
        <w:t>Coagulopathy is an established independent predictor of clinically significant gastrointestinal bleeding. This subgroup analysis was intended to evaluate whether the protective effect of SUP was more pronounced in patients with impaired coagulation.</w:t>
      </w:r>
    </w:p>
    <w:p w14:paraId="7D0AAC33" w14:textId="77777777" w:rsidR="00FF4F00" w:rsidRDefault="00794277">
      <w:r>
        <w:br w:type="page"/>
      </w:r>
    </w:p>
    <w:p w14:paraId="1D7D2A2C" w14:textId="77777777" w:rsidR="00FF4F00" w:rsidRDefault="00794277">
      <w:pPr>
        <w:spacing w:before="360" w:after="120"/>
      </w:pPr>
      <w:r>
        <w:rPr>
          <w:b/>
          <w:sz w:val="26"/>
        </w:rPr>
        <w:lastRenderedPageBreak/>
        <w:t>Appendix 6. Assessment of Certainty of Evidence (GRADE)</w:t>
      </w:r>
    </w:p>
    <w:p w14:paraId="65C7A762" w14:textId="77777777" w:rsidR="00FF4F00" w:rsidRDefault="00794277">
      <w:pPr>
        <w:spacing w:after="120"/>
      </w:pPr>
      <w:r>
        <w:t>The certainty of evidence was assessed for the primary outcome and all key secondary outcomes using the Grading of Recommendations Assessment, Development and Evaluation (GRADE) approach. When both randomized and observational studies were available, assessment was based primarily on RCTs. RCTs were initially rated as providing high certainty of evidence, whereas observational studies were initially rated as providing low certainty of evidence. All observational studies were excluded from evidence synthesis due to critical risk of bias; therefore, the GRADE assessments presented in Table 1 of the main text are based exclusively on RCT evidence.</w:t>
      </w:r>
    </w:p>
    <w:p w14:paraId="376D4CCB" w14:textId="77777777" w:rsidR="00FF4F00" w:rsidRDefault="00794277">
      <w:pPr>
        <w:spacing w:after="120"/>
      </w:pPr>
      <w:r>
        <w:t>The certainty rating was downgraded based on the following GRADE domains:</w:t>
      </w:r>
    </w:p>
    <w:p w14:paraId="7727DAB0" w14:textId="77777777" w:rsidR="00FF4F00" w:rsidRDefault="00794277">
      <w:pPr>
        <w:spacing w:before="40" w:after="80"/>
        <w:ind w:left="360"/>
      </w:pPr>
      <w:r>
        <w:rPr>
          <w:b/>
        </w:rPr>
        <w:t xml:space="preserve">Risk of bias: </w:t>
      </w:r>
      <w:r>
        <w:t>Downgraded if most studies contributing evidence had high or unclear risk of bias.</w:t>
      </w:r>
    </w:p>
    <w:p w14:paraId="4EFD9510" w14:textId="77777777" w:rsidR="00FF4F00" w:rsidRDefault="00794277">
      <w:pPr>
        <w:spacing w:before="40" w:after="80"/>
        <w:ind w:left="360"/>
      </w:pPr>
      <w:r>
        <w:rPr>
          <w:b/>
        </w:rPr>
        <w:t xml:space="preserve">Inconsistency: </w:t>
      </w:r>
      <w:r>
        <w:t>Downgraded if there was substantial unexplained heterogeneity across studies (I² &gt;50% or inconsistent direction of effect).</w:t>
      </w:r>
    </w:p>
    <w:p w14:paraId="714C5BDA" w14:textId="77777777" w:rsidR="00FF4F00" w:rsidRDefault="00794277">
      <w:pPr>
        <w:spacing w:before="40" w:after="80"/>
        <w:ind w:left="360"/>
      </w:pPr>
      <w:r>
        <w:rPr>
          <w:b/>
        </w:rPr>
        <w:t xml:space="preserve">Indirectness: </w:t>
      </w:r>
      <w:r>
        <w:t>Downgraded if there were important differences between the study populations, interventions, or outcome definitions and those of interest.</w:t>
      </w:r>
    </w:p>
    <w:p w14:paraId="196CC09F" w14:textId="77777777" w:rsidR="00FF4F00" w:rsidRDefault="00794277">
      <w:pPr>
        <w:spacing w:before="40" w:after="80"/>
        <w:ind w:left="360"/>
      </w:pPr>
      <w:r>
        <w:rPr>
          <w:b/>
        </w:rPr>
        <w:t xml:space="preserve">Imprecision: </w:t>
      </w:r>
      <w:r>
        <w:t>Downgraded if the 95% CI around the pooled estimate crossed the null value and the total number of events was below the optimal information size (OIS).</w:t>
      </w:r>
    </w:p>
    <w:p w14:paraId="7C264224" w14:textId="77777777" w:rsidR="00FF4F00" w:rsidRDefault="00794277">
      <w:pPr>
        <w:spacing w:before="40" w:after="80"/>
        <w:ind w:left="360"/>
      </w:pPr>
      <w:r>
        <w:rPr>
          <w:b/>
        </w:rPr>
        <w:t xml:space="preserve">Publication bias: </w:t>
      </w:r>
      <w:r>
        <w:t>Downgraded if asymmetry in funnel plots or other evidence of selective reporting was present.</w:t>
      </w:r>
    </w:p>
    <w:p w14:paraId="62C449A0" w14:textId="77777777" w:rsidR="00FF4F00" w:rsidRDefault="00794277">
      <w:pPr>
        <w:spacing w:after="120"/>
      </w:pPr>
      <w:r>
        <w:t>The certainty was categorized as high, moderate, low, or very low, reflecting the extent to which the authors were confident that the true effect was close to the estimate of the effect. For all outcomes assessed in this review, the certainty of evidence was rated as very low, primarily due to risk of bias (predominantly high risk of bias across RCTs), imprecision (wide confidence intervals and low event counts), and indirectness (heterogeneity in populations, interventions, and outcome definitions).</w:t>
      </w:r>
    </w:p>
    <w:p w14:paraId="1F49645B" w14:textId="77777777" w:rsidR="00FF4F00" w:rsidRDefault="00794277">
      <w:r>
        <w:br w:type="page"/>
      </w:r>
    </w:p>
    <w:p w14:paraId="5D9BB9BE" w14:textId="77777777" w:rsidR="00FF4F00" w:rsidRDefault="00794277">
      <w:pPr>
        <w:spacing w:before="360" w:after="120"/>
      </w:pPr>
      <w:r>
        <w:rPr>
          <w:b/>
          <w:sz w:val="26"/>
        </w:rPr>
        <w:lastRenderedPageBreak/>
        <w:t>Appendix 7. Risk of Bias Assessment Details</w:t>
      </w:r>
    </w:p>
    <w:p w14:paraId="3A31A130" w14:textId="77777777" w:rsidR="00FF4F00" w:rsidRDefault="00794277">
      <w:pPr>
        <w:spacing w:before="240" w:after="80"/>
      </w:pPr>
      <w:r>
        <w:rPr>
          <w:b/>
          <w:i/>
          <w:sz w:val="24"/>
        </w:rPr>
        <w:t>RoB 2 Assessment — Randomized Controlled Trials</w:t>
      </w:r>
    </w:p>
    <w:p w14:paraId="1D018F3F" w14:textId="77777777" w:rsidR="00FF4F00" w:rsidRDefault="00794277">
      <w:pPr>
        <w:spacing w:after="120"/>
      </w:pPr>
      <w:r>
        <w:t>Risk of bias was assessed separately for each outcome using RoB 2. Detailed RoB 2 judgments for each outcome are described below.</w:t>
      </w:r>
    </w:p>
    <w:p w14:paraId="1EF7591C" w14:textId="77777777" w:rsidR="003A346C" w:rsidRDefault="003A346C">
      <w:pPr>
        <w:spacing w:after="120"/>
        <w:rPr>
          <w:lang w:eastAsia="ja-JP"/>
        </w:rPr>
      </w:pPr>
    </w:p>
    <w:p w14:paraId="1446227A" w14:textId="0D6BDCCB" w:rsidR="003A346C" w:rsidRDefault="003A346C" w:rsidP="003A346C">
      <w:pPr>
        <w:spacing w:after="40"/>
      </w:pPr>
      <w:r>
        <w:rPr>
          <w:b/>
        </w:rPr>
        <w:t xml:space="preserve">1.  </w:t>
      </w:r>
      <w:r w:rsidR="00075E73">
        <w:rPr>
          <w:rFonts w:hint="eastAsia"/>
          <w:b/>
          <w:lang w:eastAsia="ja-JP"/>
        </w:rPr>
        <w:t xml:space="preserve">Upper </w:t>
      </w:r>
      <w:r>
        <w:rPr>
          <w:b/>
        </w:rPr>
        <w:t>Gastrointestinal Bleeding (</w:t>
      </w:r>
      <w:r w:rsidR="00075E73">
        <w:rPr>
          <w:rFonts w:hint="eastAsia"/>
          <w:b/>
          <w:lang w:eastAsia="ja-JP"/>
        </w:rPr>
        <w:t>U</w:t>
      </w:r>
      <w:r>
        <w:rPr>
          <w:b/>
        </w:rPr>
        <w:t>GIB)</w:t>
      </w:r>
    </w:p>
    <w:p w14:paraId="1F5B1434" w14:textId="0863A47A" w:rsidR="003A346C" w:rsidRDefault="003A346C" w:rsidP="003A346C">
      <w:pPr>
        <w:pStyle w:val="21"/>
      </w:pPr>
      <w:r>
        <w:rPr>
          <w:color w:val="1F497D"/>
          <w:sz w:val="24"/>
        </w:rPr>
        <w:t>Abu El-Ella et al. 2022</w:t>
      </w:r>
    </w:p>
    <w:p w14:paraId="0422D195" w14:textId="71A99364" w:rsidR="003A346C" w:rsidRDefault="003A346C" w:rsidP="003A346C">
      <w:pPr>
        <w:spacing w:after="120"/>
        <w:jc w:val="both"/>
      </w:pPr>
      <w:r>
        <w:rPr>
          <w:sz w:val="20"/>
        </w:rPr>
        <w:t xml:space="preserve">Abu El-Ella SS, El-Mekkawy MS, Mohamed Selim A. Stress ulcer prophylaxis for critically ill children: routine use needs to be re-examined. </w:t>
      </w:r>
      <w:r>
        <w:rPr>
          <w:i/>
          <w:sz w:val="20"/>
        </w:rPr>
        <w:t xml:space="preserve">Anales de Pediatría. </w:t>
      </w:r>
      <w:r>
        <w:rPr>
          <w:sz w:val="20"/>
        </w:rPr>
        <w:t>2022;96:402-409. PMID: 35701033.</w:t>
      </w:r>
    </w:p>
    <w:p w14:paraId="46CEE791" w14:textId="77777777" w:rsidR="003A346C" w:rsidRDefault="003A346C" w:rsidP="003A346C">
      <w:pPr>
        <w:spacing w:after="120"/>
        <w:jc w:val="both"/>
      </w:pPr>
      <w:r>
        <w:rPr>
          <w:b/>
        </w:rPr>
        <w:t xml:space="preserve">Domain 1 — Bias arising from the randomization process — </w:t>
      </w:r>
      <w:r>
        <w:rPr>
          <w:b/>
          <w:color w:val="C00000"/>
        </w:rPr>
        <w:t xml:space="preserve">High risk of bias. </w:t>
      </w:r>
      <w:r>
        <w:t>The study used block randomization generated via an online tool to achieve balanced allocation between the two groups, which constitutes an appropriate method of sequence generation (1.1 Y). However, the trial was conducted as an open-label study, and no method of allocation concealment was described (1.2 N). With no concealment in place, those responsible for enrolling patients could have been aware of the upcoming allocation, potentially allowing selective enrollment. No clinically significant baseline imbalances were apparent between the two groups (1.3 PN), but the absence of allocation concealment alone is sufficient to warrant a judgment of high risk for this domain.</w:t>
      </w:r>
    </w:p>
    <w:p w14:paraId="0A96867D" w14:textId="46761222" w:rsidR="003A346C" w:rsidRDefault="003A346C" w:rsidP="003A346C">
      <w:pPr>
        <w:spacing w:after="120"/>
        <w:jc w:val="both"/>
      </w:pPr>
      <w:r>
        <w:rPr>
          <w:b/>
        </w:rPr>
        <w:t xml:space="preserve">Domain 2 — Bias due to deviations from intended interventions — </w:t>
      </w:r>
      <w:r>
        <w:rPr>
          <w:b/>
          <w:color w:val="BF8F00"/>
        </w:rPr>
        <w:t xml:space="preserve">Some concerns. </w:t>
      </w:r>
      <w:r>
        <w:t>The trial was explicitly conducted as an open-label study, in which participants were not blinded to treatment allocation, as stated in the methods.. Both participants and caregivers were therefore aware of group assignment (2.1 Y, 2.2 Y). Despite this, the authors reported that no protocol deviations occurred in either group during the study period (2.3 N). For Part 2 of Domain 2, the methods section does not explicitly state whether an intention-to-treat analysis was performed (2.6 NI). In the absence of confirmation that an appropriate ITT analysis was conducted, this domain cannot be rated as low risk, yielding an overall judgment of some concerns.</w:t>
      </w:r>
    </w:p>
    <w:p w14:paraId="4BB21099" w14:textId="77777777" w:rsidR="003A346C" w:rsidRDefault="003A346C" w:rsidP="003A346C">
      <w:pPr>
        <w:spacing w:after="120"/>
        <w:jc w:val="both"/>
      </w:pPr>
      <w:r>
        <w:rPr>
          <w:b/>
        </w:rPr>
        <w:t xml:space="preserve">Domain 3 — Bias due to missing outcome data — </w:t>
      </w:r>
      <w:r>
        <w:rPr>
          <w:b/>
          <w:color w:val="375623"/>
        </w:rPr>
        <w:t xml:space="preserve">Low risk of bias. </w:t>
      </w:r>
      <w:r>
        <w:t>All 144 randomized patients (72 in each group) were included in the analysis, and no post-randomization exclusions were reported (3.1 Y). The CONSORT-style description confirms that outcome data were available for the complete study population without loss to follow-up. There is therefore no concern regarding missing outcome data for the GI bleeding outcome.</w:t>
      </w:r>
    </w:p>
    <w:p w14:paraId="0933975A" w14:textId="3D8A8914" w:rsidR="003A346C" w:rsidRDefault="003A346C" w:rsidP="003A346C">
      <w:pPr>
        <w:spacing w:after="120"/>
        <w:jc w:val="both"/>
      </w:pPr>
      <w:r>
        <w:rPr>
          <w:b/>
        </w:rPr>
        <w:t xml:space="preserve">Domain 4 — Bias in measurement of the outcome — </w:t>
      </w:r>
      <w:r>
        <w:rPr>
          <w:b/>
          <w:color w:val="C00000"/>
        </w:rPr>
        <w:t xml:space="preserve">High risk of bias. </w:t>
      </w:r>
      <w:r>
        <w:t xml:space="preserve">The definition of overt GI bleeding </w:t>
      </w:r>
      <w:r>
        <w:rPr>
          <w:rFonts w:hint="eastAsia"/>
          <w:lang w:eastAsia="ja-JP"/>
        </w:rPr>
        <w:t xml:space="preserve">was </w:t>
      </w:r>
      <w:r>
        <w:t>clearly stated: overt bleeding was defined as haematemesis, melena, or flecks of blood in nasogastric aspirates (coffee ground vomitus) (4.1 N). There was no evidence of differential measurement methods between groups (4.2 N). However, because the trial was open-label, outcome assessors were aware of each patient's group assignment (4.3 Y). The endpoint of "coffee ground material in nasogastric aspirates" involves a degree of subjective judgment, and an assessor who knows that a patient is in the unprotected control group may apply a lower threshold for classifying such aspirates as indicative of bleeding (4.4 PY, 4.5 PY). This domain is rated as high risk of bias.</w:t>
      </w:r>
    </w:p>
    <w:p w14:paraId="1B41FC0A"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 xml:space="preserve">No trial registration number or pre-published protocol was identified for this study (5.1 NI), making it impossible to verify that the reported outcomes and analyses were pre-specified. GI bleeding was assessed using a single composite definition without evidence of multiple alternative outcome measurements (5.2 N). The </w:t>
      </w:r>
      <w:r>
        <w:lastRenderedPageBreak/>
        <w:t>possibility of selective reporting from multiple exploratory analyses cannot be entirely excluded (5.3 PN).</w:t>
      </w:r>
    </w:p>
    <w:p w14:paraId="0518D050" w14:textId="17D58B01" w:rsidR="003A346C" w:rsidRDefault="003A346C" w:rsidP="003A346C">
      <w:pPr>
        <w:spacing w:after="280"/>
        <w:jc w:val="both"/>
      </w:pPr>
      <w:r>
        <w:rPr>
          <w:b/>
        </w:rPr>
        <w:t xml:space="preserve">Overall risk of bias — </w:t>
      </w:r>
      <w:r>
        <w:rPr>
          <w:b/>
          <w:color w:val="C00000"/>
        </w:rPr>
        <w:t xml:space="preserve">High risk of bias. </w:t>
      </w:r>
      <w:r>
        <w:t>The overall judgment for the GI bleeding outcome is high risk, driven by critical concerns in Domain 1 (absence of allocation concealment in an open-label design) and Domain 4 (subjective outcome components assessed without blinding). Domain 2 was rated as some concerns owing to the absence of explicit confirmation of an intention-to-treat analysis. Domain 5 was rated as some concerns in the absence of a pre-registered protocol.</w:t>
      </w:r>
    </w:p>
    <w:p w14:paraId="6DAF9B3C" w14:textId="77777777" w:rsidR="003A346C" w:rsidRPr="003A346C" w:rsidRDefault="003A346C" w:rsidP="003A346C">
      <w:pPr>
        <w:spacing w:after="280"/>
        <w:jc w:val="both"/>
      </w:pPr>
    </w:p>
    <w:p w14:paraId="49ED17E7" w14:textId="718F0C3E" w:rsidR="003A346C" w:rsidRDefault="003A346C" w:rsidP="003A346C">
      <w:pPr>
        <w:pStyle w:val="21"/>
      </w:pPr>
      <w:r>
        <w:rPr>
          <w:color w:val="1F497D"/>
          <w:sz w:val="24"/>
        </w:rPr>
        <w:t>Eddleston et al. 1989</w:t>
      </w:r>
    </w:p>
    <w:p w14:paraId="27BAD827" w14:textId="7FE23DC4" w:rsidR="003A346C" w:rsidRDefault="003A346C" w:rsidP="003A346C">
      <w:pPr>
        <w:spacing w:after="120"/>
        <w:jc w:val="both"/>
      </w:pPr>
      <w:r>
        <w:rPr>
          <w:sz w:val="20"/>
        </w:rPr>
        <w:t xml:space="preserve">Eddleston JM, Booker PD, Green JR. Use of ranitidine in children undergoing cardiopulmonary bypass. </w:t>
      </w:r>
      <w:r>
        <w:rPr>
          <w:i/>
          <w:sz w:val="20"/>
        </w:rPr>
        <w:t xml:space="preserve">Critical Care Medicine. </w:t>
      </w:r>
      <w:r>
        <w:rPr>
          <w:sz w:val="20"/>
        </w:rPr>
        <w:t>1989;17(1):26-29. PMID: 2909317.</w:t>
      </w:r>
    </w:p>
    <w:p w14:paraId="460324D6" w14:textId="77777777" w:rsidR="003A346C" w:rsidRDefault="003A346C" w:rsidP="003A346C">
      <w:pPr>
        <w:spacing w:after="120"/>
        <w:jc w:val="both"/>
      </w:pPr>
      <w:r>
        <w:rPr>
          <w:i/>
          <w:sz w:val="20"/>
        </w:rPr>
        <w:t>Note: This was a three-arm trial (ranitidine 0.1 mg/kg/h, ranitidine 0.2 mg/kg/h, no treatment control; N = 60) in children undergoing cardiac surgery. The open-label design with an untreated control arm means that participants and providers in the control group could identify their allocation.</w:t>
      </w:r>
    </w:p>
    <w:p w14:paraId="01A90953" w14:textId="77777777" w:rsidR="003A346C" w:rsidRDefault="003A346C" w:rsidP="003A346C">
      <w:pPr>
        <w:spacing w:after="120"/>
        <w:jc w:val="both"/>
      </w:pPr>
      <w:r>
        <w:rPr>
          <w:b/>
        </w:rPr>
        <w:t xml:space="preserve">Domain 1 — Bias arising from the randomization process — </w:t>
      </w:r>
      <w:r>
        <w:rPr>
          <w:b/>
          <w:color w:val="BF8F00"/>
        </w:rPr>
        <w:t xml:space="preserve">Some concerns. </w:t>
      </w:r>
      <w:r>
        <w:t>The trial was described as a randomized controlled trial; however, no description of allocation concealment was provided, making it impossible to verify whether the assignment sequence was protected from those enrolling participants (1.2 NI). The three groups were well-matched at baseline for relevant demographic and clinical characteristics (1.3 N). Because allocation concealment was not described, this domain is rated as some concerns.</w:t>
      </w:r>
    </w:p>
    <w:p w14:paraId="4CD777FD" w14:textId="77777777" w:rsidR="003A346C" w:rsidRDefault="003A346C" w:rsidP="003A346C">
      <w:pPr>
        <w:spacing w:after="120"/>
        <w:jc w:val="both"/>
      </w:pPr>
      <w:r>
        <w:rPr>
          <w:b/>
        </w:rPr>
        <w:t xml:space="preserve">Domain 2 — Bias due to deviations from intended interventions — </w:t>
      </w:r>
      <w:r>
        <w:rPr>
          <w:b/>
          <w:color w:val="C00000"/>
        </w:rPr>
        <w:t xml:space="preserve">High risk of bias. </w:t>
      </w:r>
      <w:r>
        <w:t>The trial was conducted as an open-label study with an untreated control arm, creating a structural situation in which participants in the control group were likely aware of their allocation given the absence of any administered intervention (2.1 PY, 2.2 PY). No information was provided about whether protocol deviations occurred after randomization (2.3 NI). No information was available about whether an intention-to-treat analysis was performed, and no CONSORT flow diagram or description of excluded patients was provided (2.6 NI). Given the confirmed existence of post-randomization exclusions (see Domain 3), the absence of an explicit ITT analysis is a substantive concern; a departure from randomization principles is probable (2.7 PY). This domain is rated as high risk of bias.</w:t>
      </w:r>
    </w:p>
    <w:p w14:paraId="0122FFA7" w14:textId="77777777" w:rsidR="003A346C" w:rsidRDefault="003A346C" w:rsidP="003A346C">
      <w:pPr>
        <w:spacing w:after="120"/>
        <w:jc w:val="both"/>
      </w:pPr>
      <w:r>
        <w:rPr>
          <w:b/>
        </w:rPr>
        <w:t xml:space="preserve">Domain 3 — Bias due to missing outcome data — </w:t>
      </w:r>
      <w:r>
        <w:rPr>
          <w:b/>
          <w:color w:val="C00000"/>
        </w:rPr>
        <w:t xml:space="preserve">High risk of bias. </w:t>
      </w:r>
      <w:r>
        <w:t>Post-randomization exclusions were confirmed to have occurred; the number, reasons, and timing of exclusions were not reported (3.1 N). It cannot be established that the results are free from bias due to missing data (3.2 PN). The exclusion criteria included patients with elevated pulmonary vascular resistance, representing higher overall disease severity and thus a plausible increased risk of GI bleeding (3.3 PY). Given the relationship between the reason for exclusion and GI bleeding risk, it is probable that missingness depends on the true outcome value (3.4 PY). This domain is rated as high risk of bias.</w:t>
      </w:r>
    </w:p>
    <w:p w14:paraId="36B66756" w14:textId="77777777" w:rsidR="003A346C" w:rsidRDefault="003A346C" w:rsidP="003A346C">
      <w:pPr>
        <w:spacing w:after="120"/>
        <w:jc w:val="both"/>
      </w:pPr>
      <w:r>
        <w:rPr>
          <w:b/>
        </w:rPr>
        <w:t xml:space="preserve">Domain 4 — Bias in measurement of the outcome — </w:t>
      </w:r>
      <w:r>
        <w:rPr>
          <w:b/>
          <w:color w:val="C00000"/>
        </w:rPr>
        <w:t xml:space="preserve">High risk of bias. </w:t>
      </w:r>
      <w:r>
        <w:t xml:space="preserve">GI hemorrhage was defined based on the presence and quantity of blood in gastric aspirates, which constitutes an appropriate composite definition (4.1 N). No evidence that measurement methods differed systematically between groups (4.2 N). However, the trial was conducted without blinding; treating clinicians and outcome assessors were aware of treatment allocation (4.3 PY). The assessment of GI hemorrhage based on the color and amount of gastric aspirate content is inherently subjective; an assessor aware that a patient is in the unprotected control group may apply a lower threshold for </w:t>
      </w:r>
      <w:r>
        <w:lastRenderedPageBreak/>
        <w:t>classifying aspirate findings as indicative of bleeding (4.4 PY, 4.5 PY). This domain is rated as high risk of bias.</w:t>
      </w:r>
    </w:p>
    <w:p w14:paraId="0EA71488"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No trial registration number or pre-published analysis plan was identified for this study (5.1 NI). GI hemorrhage was assessed using a single composite definition without evidence of multiple alternative measurement approaches (5.2 N). No indication of multiple statistical analyses was identified (5.3 N). Given the absence of a registered protocol, selective reporting from exploratory analyses cannot be entirely excluded. This domain is rated as some concerns.</w:t>
      </w:r>
    </w:p>
    <w:p w14:paraId="2138E94E" w14:textId="2568803D" w:rsidR="003A346C" w:rsidRDefault="003A346C" w:rsidP="003A346C">
      <w:pPr>
        <w:spacing w:after="280"/>
        <w:jc w:val="both"/>
      </w:pPr>
      <w:r>
        <w:rPr>
          <w:b/>
        </w:rPr>
        <w:t xml:space="preserve">Overall risk of bias — </w:t>
      </w:r>
      <w:r>
        <w:rPr>
          <w:b/>
          <w:color w:val="C00000"/>
        </w:rPr>
        <w:t xml:space="preserve">High risk of bias. </w:t>
      </w:r>
      <w:r>
        <w:t>The overall judgment for the GI hemorrhage outcome is high risk, driven by critical concerns in Domain 2 (open-label design with confirmed post-randomization exclusions and absence of ITT analysis), Domain 3 (missing outcome data from excluded patients with characteristics plausibly linked to GI bleeding risk), and Domain 4 (subjective, assessor-dependent outcome components evaluated without blinding). Domain 1 was rated as some concerns due to the absence of allocation concealment information. Domain 5 was rated as some concerns in the absence of a pre-registered protocol.</w:t>
      </w:r>
    </w:p>
    <w:p w14:paraId="3B3F1831" w14:textId="77777777" w:rsidR="003A346C" w:rsidRPr="003A346C" w:rsidRDefault="003A346C" w:rsidP="003A346C">
      <w:pPr>
        <w:spacing w:after="280"/>
        <w:jc w:val="both"/>
      </w:pPr>
    </w:p>
    <w:p w14:paraId="4524B177" w14:textId="23FC4D94" w:rsidR="003A346C" w:rsidRDefault="003A346C" w:rsidP="003A346C">
      <w:pPr>
        <w:pStyle w:val="21"/>
      </w:pPr>
      <w:r>
        <w:rPr>
          <w:color w:val="1F497D"/>
          <w:sz w:val="24"/>
        </w:rPr>
        <w:t>Kavilapurapu et al. 2025</w:t>
      </w:r>
    </w:p>
    <w:p w14:paraId="7579AFE0" w14:textId="5CFAEF6F" w:rsidR="003A346C" w:rsidRDefault="003A346C" w:rsidP="008912E7">
      <w:pPr>
        <w:spacing w:after="120"/>
        <w:jc w:val="both"/>
      </w:pPr>
      <w:r>
        <w:rPr>
          <w:sz w:val="20"/>
        </w:rPr>
        <w:t xml:space="preserve">Kavilapurapu A, Lalitha AV, Ghosh S. Role of proton pump inhibitor as stress ulcer prophylaxis in sick children: a randomized controlled trial. </w:t>
      </w:r>
      <w:r>
        <w:rPr>
          <w:i/>
          <w:sz w:val="20"/>
        </w:rPr>
        <w:t xml:space="preserve">Indian Pediatrics. </w:t>
      </w:r>
      <w:r>
        <w:rPr>
          <w:sz w:val="20"/>
        </w:rPr>
        <w:t>2025;62:407-413. PMID: 40214942. Trial registration: CTRI/2021/08/035785.</w:t>
      </w:r>
    </w:p>
    <w:p w14:paraId="585D29AC" w14:textId="77777777" w:rsidR="003A346C" w:rsidRDefault="003A346C" w:rsidP="003A346C">
      <w:pPr>
        <w:spacing w:after="120"/>
        <w:jc w:val="both"/>
      </w:pPr>
      <w:r>
        <w:rPr>
          <w:b/>
        </w:rPr>
        <w:t xml:space="preserve">Domain 1 — Bias arising from the randomization process — </w:t>
      </w:r>
      <w:r>
        <w:rPr>
          <w:b/>
          <w:color w:val="375623"/>
        </w:rPr>
        <w:t xml:space="preserve">Low risk of bias. </w:t>
      </w:r>
      <w:r>
        <w:t>The allocation sequence was generated using a computer-generated randomization sequence with block randomization of sizes 2 to 4, which constitutes an appropriate method of sequence generation (1.1 Y). Allocation concealment was achieved through the use of identical, opaque, sealed envelopes with serial numbers prepared by the principal investigator (1.2 Y). However, because block sizes were small (2 to 4), there is a theoretical possibility that the allocation of subsequent participants could be partially predicted once earlier assignments within a block become known (1.3 PN). No clinically meaningful baseline differences were observed across groups, but this limitation of small block sizes prevents a rating of low risk.</w:t>
      </w:r>
    </w:p>
    <w:p w14:paraId="09148AB9" w14:textId="77777777" w:rsidR="003A346C" w:rsidRDefault="003A346C" w:rsidP="003A346C">
      <w:pPr>
        <w:spacing w:after="120"/>
        <w:jc w:val="both"/>
      </w:pPr>
      <w:r>
        <w:rPr>
          <w:b/>
        </w:rPr>
        <w:t xml:space="preserve">Domain 2 — Bias due to deviations from intended interventions — </w:t>
      </w:r>
      <w:r>
        <w:rPr>
          <w:b/>
          <w:color w:val="375623"/>
        </w:rPr>
        <w:t xml:space="preserve">Low risk of bias. </w:t>
      </w:r>
      <w:r>
        <w:t>This trial was designed and executed as a double-blind, placebo-controlled study. Pantoprazole was reconstituted with normal saline and was colourless and visually indistinguishable from the placebo; participants were therefore unaware of their group assignment (2.1 N). The treating physician and outcome assessors were explicitly stated to be blinded to group allocations (2.2 N). The primary analysis was conducted in the intention-to-treat population, with all 301 randomized participants included in the analysis (2.6 Y). This domain is rated as low risk of bias.</w:t>
      </w:r>
    </w:p>
    <w:p w14:paraId="741A8983" w14:textId="77777777" w:rsidR="003A346C" w:rsidRDefault="003A346C" w:rsidP="003A346C">
      <w:pPr>
        <w:spacing w:after="120"/>
        <w:jc w:val="both"/>
      </w:pPr>
      <w:r>
        <w:rPr>
          <w:b/>
        </w:rPr>
        <w:t xml:space="preserve">Domain 3 — Bias due to missing outcome data — </w:t>
      </w:r>
      <w:r>
        <w:rPr>
          <w:b/>
          <w:color w:val="375623"/>
        </w:rPr>
        <w:t xml:space="preserve">Low risk of bias. </w:t>
      </w:r>
      <w:r>
        <w:t>Exclusion of ineligible patients was performed prior to randomization, and outcome data were available for all 301 randomized participants (3.1 Y). The CONSORT flow diagram confirms no post-randomization withdrawals or losses to follow-up. There is no concern regarding missing outcome data for this outcome.</w:t>
      </w:r>
    </w:p>
    <w:p w14:paraId="391A4A2C" w14:textId="77777777" w:rsidR="003A346C" w:rsidRDefault="003A346C" w:rsidP="003A346C">
      <w:pPr>
        <w:spacing w:after="120"/>
        <w:jc w:val="both"/>
      </w:pPr>
      <w:r>
        <w:rPr>
          <w:b/>
        </w:rPr>
        <w:t xml:space="preserve">Domain 4 — Bias in measurement of the outcome — </w:t>
      </w:r>
      <w:r>
        <w:rPr>
          <w:b/>
          <w:color w:val="375623"/>
        </w:rPr>
        <w:t xml:space="preserve">Low risk of bias. </w:t>
      </w:r>
      <w:r>
        <w:t xml:space="preserve">Overt GI bleeding was defined by the presence of hematemesis, visible blood, coffee ground material in nasogastric aspirates, </w:t>
      </w:r>
      <w:r>
        <w:lastRenderedPageBreak/>
        <w:t>or the passage of melena or hematochezia — a clearly defined, standardized clinical definition (4.1 N). No differential measurement between groups was identified (4.2 N), and outcome assessors were blinded to group allocation (4.3 N).</w:t>
      </w:r>
    </w:p>
    <w:p w14:paraId="409C3CE5"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The trial was prospectively registered (CTRI/2021/08/035785); however, consistency between the registered protocol and reported outcomes could not be fully verified (5.1 NI). The outcome definition incorporated multiple diagnostic criteria treated as a single composite standard (5.2 N). Multiple subgroup and secondary analyses were performed; selective reporting from these cannot be fully excluded (5.3 PN).</w:t>
      </w:r>
    </w:p>
    <w:p w14:paraId="44D8FEE6" w14:textId="77777777" w:rsidR="003A346C" w:rsidRDefault="003A346C" w:rsidP="003A346C">
      <w:pPr>
        <w:spacing w:after="280"/>
        <w:jc w:val="both"/>
      </w:pPr>
      <w:r>
        <w:rPr>
          <w:b/>
        </w:rPr>
        <w:t xml:space="preserve">Overall risk of bias — </w:t>
      </w:r>
      <w:r>
        <w:rPr>
          <w:b/>
          <w:color w:val="BF8F00"/>
        </w:rPr>
        <w:t xml:space="preserve">Some concerns. </w:t>
      </w:r>
      <w:r>
        <w:t>The overall judgment for the overt GI bleeding outcome is some concerns. Domains 1 through 4 were rated as low risk of bias, reflecting the well-designed double-blind, placebo-controlled, ITT-analyzed trial with adequate allocation concealment and blinded outcome assessment. The judgment of some concerns is driven solely by Domain 5.</w:t>
      </w:r>
    </w:p>
    <w:p w14:paraId="49F69886" w14:textId="77777777" w:rsidR="003A346C" w:rsidRDefault="003A346C">
      <w:pPr>
        <w:spacing w:after="120"/>
        <w:rPr>
          <w:lang w:eastAsia="ja-JP"/>
        </w:rPr>
      </w:pPr>
    </w:p>
    <w:p w14:paraId="408E3EC3" w14:textId="3FBAE17F" w:rsidR="003A346C" w:rsidRDefault="003A346C" w:rsidP="003A346C">
      <w:pPr>
        <w:pStyle w:val="21"/>
      </w:pPr>
      <w:r>
        <w:rPr>
          <w:color w:val="1F497D"/>
          <w:sz w:val="24"/>
        </w:rPr>
        <w:t>Lacroix et al. 1986</w:t>
      </w:r>
    </w:p>
    <w:p w14:paraId="2C0A8DD1" w14:textId="19CA7E23" w:rsidR="003A346C" w:rsidRDefault="003A346C" w:rsidP="003A346C">
      <w:pPr>
        <w:spacing w:after="120"/>
        <w:jc w:val="both"/>
      </w:pPr>
      <w:r>
        <w:rPr>
          <w:sz w:val="20"/>
        </w:rPr>
        <w:t xml:space="preserve">Lacroix J, Infante-Rivard C, Gauthier M, Rousseau E, van Doesburg N. Upper gastrointestinal tract bleeding acquired in a pediatric intensive care unit: prophylaxis trial with cimetidine. </w:t>
      </w:r>
      <w:r>
        <w:rPr>
          <w:i/>
          <w:sz w:val="20"/>
        </w:rPr>
        <w:t xml:space="preserve">The Journal of Pediatrics. </w:t>
      </w:r>
      <w:r>
        <w:rPr>
          <w:sz w:val="20"/>
        </w:rPr>
        <w:t>1986;108(6):1015-1018. PMID: 3519913.</w:t>
      </w:r>
    </w:p>
    <w:p w14:paraId="2BEF4FA3" w14:textId="77777777" w:rsidR="003A346C" w:rsidRDefault="003A346C" w:rsidP="003A346C">
      <w:pPr>
        <w:spacing w:after="120"/>
        <w:jc w:val="both"/>
      </w:pPr>
      <w:r>
        <w:rPr>
          <w:b/>
        </w:rPr>
        <w:t xml:space="preserve">Domain 1 — Bias arising from the randomization process — </w:t>
      </w:r>
      <w:r>
        <w:rPr>
          <w:b/>
          <w:color w:val="375623"/>
        </w:rPr>
        <w:t xml:space="preserve">Low risk of bias. </w:t>
      </w:r>
      <w:r>
        <w:t>The randomization sequence was generated using a random number table, constituting an appropriate method of sequence generation (1.1 Y). The trial was conducted as a double-blind, placebo-controlled study; the double-blind design inherently ensures that allocation was concealed from at least participants and outcome assessors (1.2 Y). No clinically significant baseline imbalances between the cimetidine and placebo groups were apparent across demographic and clinical characteristics (1.3 PN). This domain is rated as low risk of bias.</w:t>
      </w:r>
    </w:p>
    <w:p w14:paraId="16CEE959" w14:textId="77777777" w:rsidR="003A346C" w:rsidRDefault="003A346C" w:rsidP="003A346C">
      <w:pPr>
        <w:spacing w:after="120"/>
        <w:jc w:val="both"/>
      </w:pPr>
      <w:r>
        <w:rPr>
          <w:b/>
        </w:rPr>
        <w:t xml:space="preserve">Domain 2 — Bias due to deviations from intended interventions — </w:t>
      </w:r>
      <w:r>
        <w:rPr>
          <w:b/>
          <w:color w:val="BF8F00"/>
        </w:rPr>
        <w:t xml:space="preserve">Some concerns. </w:t>
      </w:r>
      <w:r>
        <w:t>The trial was conducted as a double-blind, placebo-controlled study; however, visual indistinguishability of cimetidine from the matched placebo was not explicitly confirmed in the report (2.1 PN, 2.2 PN). Regarding the analytical approach, post-randomization protocol deviations were reported, suggesting a per-protocol rather than intention-to-treat analysis (2.6 N). However, an alternative interpretation is that Kaplan–Meier survival analysis incorporating all enrolled patients may indicate that the ITT principle was followed; this interpretation cannot be confirmed with certainty from the available report. The two post-randomization exclusions involved patients who died from causes unrelated to upper GI bleeding, and this is unlikely to have materially biased the estimated treatment effect (2.7 PN). Given residual uncertainty about the analysis method, this domain is rated as some concerns.</w:t>
      </w:r>
    </w:p>
    <w:p w14:paraId="1ADAB99A" w14:textId="77777777" w:rsidR="003A346C" w:rsidRDefault="003A346C" w:rsidP="003A346C">
      <w:pPr>
        <w:spacing w:after="120"/>
        <w:jc w:val="both"/>
      </w:pPr>
      <w:r>
        <w:rPr>
          <w:b/>
        </w:rPr>
        <w:t xml:space="preserve">Domain 3 — Bias due to missing outcome data — </w:t>
      </w:r>
      <w:r>
        <w:rPr>
          <w:b/>
          <w:color w:val="C00000"/>
        </w:rPr>
        <w:t xml:space="preserve">High risk of bias. </w:t>
      </w:r>
      <w:r>
        <w:t>Two patients were excluded from analysis after randomization: both died from causes reportedly unrelated to upper GI bleeding (3.1 N). Beyond these two deaths, the total number of censored patients and the reasons and timing of censoring events throughout the study are not reported, making it impossible to fully assess the extent of missing outcome data. There is no direct evidence that the remaining missing data are unrelated to the true outcome values (3.2 PN). The two excluded patients died with severe systemic illness; had they survived, their high disease burden may have placed them at elevated risk of upper GI bleeding (3.3 PY). Given the limited information about the full extent of censoring and its relationship to patient outcomes, it cannot be reliably determined whether missingness is likely to depend on the true outcome values (3.4 NI). This domain is rated as high risk of bias.</w:t>
      </w:r>
    </w:p>
    <w:p w14:paraId="540EFA3F" w14:textId="77777777" w:rsidR="003A346C" w:rsidRDefault="003A346C" w:rsidP="003A346C">
      <w:pPr>
        <w:spacing w:after="120"/>
        <w:jc w:val="both"/>
      </w:pPr>
      <w:r>
        <w:rPr>
          <w:b/>
        </w:rPr>
        <w:lastRenderedPageBreak/>
        <w:t xml:space="preserve">Domain 4 — Bias in measurement of the outcome — </w:t>
      </w:r>
      <w:r>
        <w:rPr>
          <w:b/>
          <w:color w:val="375623"/>
        </w:rPr>
        <w:t xml:space="preserve">Low risk of bias. </w:t>
      </w:r>
      <w:r>
        <w:t>Upper GI bleeding was defined to include massive bleeding (haematemesis, frank haematochezia, or bright red blood on gastric aspiration), obvious bleeding (coffee-ground material in nasogastric aspirates), and slight bleeding (guaiac-positive aspirate), constituting an appropriate outcome definition (4.1 N). There was no indication that measurement methods differed between the cimetidine and placebo groups (4.2 N). Outcome assessors were blinded to treatment allocation per the stated double-blind design (4.3 PN). This domain is rated as low risk of bias.</w:t>
      </w:r>
    </w:p>
    <w:p w14:paraId="5DA330A8"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No trial registration number or pre-published analysis plan was identified for this study, which predates the current era of prospective trial registration (5.1 NI). Upper GI bleeding was assessed using a single predefined composite definition without evidence of multiple alternative measurement approaches (5.2 N). The possibility of selective emphasis on certain analyses cannot be entirely excluded in the absence of a registered analysis plan (5.3 PN). This domain is rated as some concerns.</w:t>
      </w:r>
    </w:p>
    <w:p w14:paraId="588E7AD7" w14:textId="77777777" w:rsidR="003A346C" w:rsidRDefault="003A346C" w:rsidP="003A346C">
      <w:pPr>
        <w:spacing w:after="280"/>
        <w:jc w:val="both"/>
      </w:pPr>
      <w:r>
        <w:rPr>
          <w:b/>
        </w:rPr>
        <w:t xml:space="preserve">Overall risk of bias — </w:t>
      </w:r>
      <w:r>
        <w:rPr>
          <w:b/>
          <w:color w:val="C00000"/>
        </w:rPr>
        <w:t xml:space="preserve">High risk of bias. </w:t>
      </w:r>
      <w:r>
        <w:t>The overall judgment for the GI bleeding outcome is high risk, driven by critical concerns in Domain 3. The absence of complete censoring information and the plausible relationship between the reasons for exclusion (severe systemic illness) and the risk of upper GI bleeding raise concern that missing outcome data are not missing at random. Domain 2 was rated as some concerns owing to uncertainty about whether the analysis followed the ITT principle and incomplete confirmation of pharmacological blinding. Domains 1 and 4 were rated as low risk of bias. Domain 5 was rated as some concerns in the absence of a pre-registered protocol.</w:t>
      </w:r>
    </w:p>
    <w:p w14:paraId="0E1FE467" w14:textId="77777777" w:rsidR="003A346C" w:rsidRDefault="003A346C">
      <w:pPr>
        <w:spacing w:after="120"/>
        <w:rPr>
          <w:lang w:eastAsia="ja-JP"/>
        </w:rPr>
      </w:pPr>
    </w:p>
    <w:p w14:paraId="44812140" w14:textId="1151AC8D" w:rsidR="003A346C" w:rsidRDefault="003A346C" w:rsidP="003A346C">
      <w:pPr>
        <w:pStyle w:val="21"/>
      </w:pPr>
      <w:r>
        <w:rPr>
          <w:color w:val="1F497D"/>
          <w:sz w:val="24"/>
        </w:rPr>
        <w:t>López-Herce et al. 1992</w:t>
      </w:r>
    </w:p>
    <w:p w14:paraId="28E57A87" w14:textId="7E51EA1C" w:rsidR="003A346C" w:rsidRDefault="003A346C" w:rsidP="003A346C">
      <w:pPr>
        <w:spacing w:after="120"/>
        <w:jc w:val="both"/>
      </w:pPr>
      <w:r>
        <w:rPr>
          <w:sz w:val="20"/>
        </w:rPr>
        <w:t xml:space="preserve">López-Herce J, Dorao P, Elola P, et al. Frequency and prophylaxis of upper gastrointestinal hemorrhage in critically ill children: a prospective study comparing the efficacy of almagate, ranitidine, and sucralfate. </w:t>
      </w:r>
      <w:r>
        <w:rPr>
          <w:i/>
          <w:sz w:val="20"/>
        </w:rPr>
        <w:t xml:space="preserve">Critical Care Medicine. </w:t>
      </w:r>
      <w:r>
        <w:rPr>
          <w:sz w:val="20"/>
        </w:rPr>
        <w:t>1992;20(8):1082-1089. PMID: 1643886.</w:t>
      </w:r>
    </w:p>
    <w:p w14:paraId="069A6490" w14:textId="77777777" w:rsidR="003A346C" w:rsidRDefault="003A346C" w:rsidP="003A346C">
      <w:pPr>
        <w:spacing w:after="120"/>
        <w:jc w:val="both"/>
      </w:pPr>
      <w:r>
        <w:rPr>
          <w:i/>
          <w:sz w:val="20"/>
        </w:rPr>
        <w:t>Note: This was a four-arm, open-label RCT (almagate, ranitidine, sucralfate, no treatment; N = 140 analyzed; 165 initially enrolled with 25 protocol violators excluded).</w:t>
      </w:r>
    </w:p>
    <w:p w14:paraId="6C10A1C8" w14:textId="77777777" w:rsidR="003A346C" w:rsidRDefault="003A346C" w:rsidP="003A346C">
      <w:pPr>
        <w:spacing w:after="120"/>
        <w:jc w:val="both"/>
      </w:pPr>
      <w:r>
        <w:rPr>
          <w:b/>
        </w:rPr>
        <w:t xml:space="preserve">Domain 1 — Bias arising from the randomization process — </w:t>
      </w:r>
      <w:r>
        <w:rPr>
          <w:b/>
          <w:color w:val="BF8F00"/>
        </w:rPr>
        <w:t xml:space="preserve">Some concerns. </w:t>
      </w:r>
      <w:r>
        <w:t>The method of sequence generation was not explicitly reported (1.1 information not directly assessed). No description of allocation concealment was provided (1.2 NI). Baseline characteristics were well balanced across the four groups (1.3 N). Because allocation concealment was not described, this domain is rated as some concerns.</w:t>
      </w:r>
    </w:p>
    <w:p w14:paraId="551B5BB5" w14:textId="77777777" w:rsidR="003A346C" w:rsidRDefault="003A346C" w:rsidP="003A346C">
      <w:pPr>
        <w:spacing w:after="120"/>
        <w:jc w:val="both"/>
      </w:pPr>
      <w:r>
        <w:rPr>
          <w:b/>
        </w:rPr>
        <w:t xml:space="preserve">Domain 2 — Bias due to deviations from intended interventions — </w:t>
      </w:r>
      <w:r>
        <w:rPr>
          <w:b/>
          <w:color w:val="C00000"/>
        </w:rPr>
        <w:t xml:space="preserve">High risk of bias. </w:t>
      </w:r>
      <w:r>
        <w:t>The trial was conducted without blinding; the control arm received no treatment, so participants and providers could readily identify group assignment (2.1 PY, 2.2 PY). Protocol deviations were observed: three patients in the almagate group had their treatment changed due to adverse effects (2.3 PY), and these deviations were not balanced across groups (2.4 N). Importantly, 25 of 165 initially enrolled patients were found to have protocol violations and were excluded, representing approximately 15% of the enrolled population; this substantial rate of post-randomization deviation is likely to have meaningfully influenced the estimated treatment effect (2.6 NI). This domain is rated as high risk of bias.</w:t>
      </w:r>
    </w:p>
    <w:p w14:paraId="159A17E2" w14:textId="77777777" w:rsidR="003A346C" w:rsidRDefault="003A346C" w:rsidP="003A346C">
      <w:pPr>
        <w:spacing w:after="120"/>
        <w:jc w:val="both"/>
      </w:pPr>
      <w:r>
        <w:rPr>
          <w:b/>
        </w:rPr>
        <w:t xml:space="preserve">Domain 3 — Bias due to missing outcome data — </w:t>
      </w:r>
      <w:r>
        <w:rPr>
          <w:b/>
          <w:color w:val="C00000"/>
        </w:rPr>
        <w:t xml:space="preserve">High risk of bias. </w:t>
      </w:r>
      <w:r>
        <w:t xml:space="preserve">Although the original assessment considered GI bleeding outcome data to be available for all analyzed patients, the exclusion of 25 protocol violators from the 165 initially enrolled participants introduces substantial </w:t>
      </w:r>
      <w:r>
        <w:lastRenderedPageBreak/>
        <w:t>uncertainty about outcome data completeness (3.1 N for the full enrolled cohort). There is no evidence confirming that the missing outcome data for these individuals are unrelated to the true GI bleeding risk (3.2 PN). Patients who violated the protocol may have differed systematically in terms of disease severity or exposure to procedures associated with GI bleeding (3.3 PY). Given the scale of protocol non-adherence and the potential dependency of missingness on true GI bleeding risk, this domain is rated as high risk of bias.</w:t>
      </w:r>
    </w:p>
    <w:p w14:paraId="5392E682" w14:textId="2611746E" w:rsidR="003A346C" w:rsidRDefault="003A346C" w:rsidP="003A346C">
      <w:pPr>
        <w:spacing w:after="120"/>
        <w:jc w:val="both"/>
      </w:pPr>
      <w:r>
        <w:rPr>
          <w:b/>
        </w:rPr>
        <w:t xml:space="preserve">Domain 4 — Bias in measurement of the outcome — </w:t>
      </w:r>
      <w:r>
        <w:rPr>
          <w:b/>
          <w:color w:val="C00000"/>
        </w:rPr>
        <w:t xml:space="preserve">High risk of bias. </w:t>
      </w:r>
      <w:r>
        <w:rPr>
          <w:rFonts w:hint="eastAsia"/>
          <w:lang w:eastAsia="ja-JP"/>
        </w:rPr>
        <w:t>U</w:t>
      </w:r>
      <w:r>
        <w:t>pper GI hemorrhage was defined as Macroscopic upper GI hemorrhage, classified as minor (small amount of red blood only) or significant (4.1 N). No differential measurement methods between groups were identified (4.2 N). However, the trial was conducted without blinding; outcome assessors were aware of treatment allocation in all arms (4.3 PY). The GI hemorrhage endpoint included assessment of microscopic bleeding using guaiac testing of gastric aspirates, a qualitative test susceptible to assessor interpretation; an evaluator aware of treatment group may apply differential thresholds for classifying borderline findings as clinically significant (4.4 PY, 4.5 PY). This domain is rated as high risk of bias.</w:t>
      </w:r>
    </w:p>
    <w:p w14:paraId="45A1E5EA"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No trial registration number or pre-published analysis plan was identified for this study (5.1 NI). Upper GI hemorrhage was assessed using a single predefined composite definition without evidence of multiple alternative measurement approaches (5.2 N). The primary statistical comparison was pre-specified across all four arms without indication of multiple alternative analytical approaches (5.3 N). Given the absence of a registered protocol, selective reporting of subgroup analyses cannot be entirely excluded. This domain is rated as some concerns.</w:t>
      </w:r>
    </w:p>
    <w:p w14:paraId="7F1ADC44" w14:textId="28C2D467" w:rsidR="003A346C" w:rsidRPr="003A346C" w:rsidRDefault="003A346C" w:rsidP="003A346C">
      <w:pPr>
        <w:spacing w:after="280"/>
        <w:jc w:val="both"/>
        <w:rPr>
          <w:lang w:eastAsia="ja-JP"/>
        </w:rPr>
      </w:pPr>
      <w:r>
        <w:rPr>
          <w:b/>
        </w:rPr>
        <w:t xml:space="preserve">Overall risk of bias — </w:t>
      </w:r>
      <w:r>
        <w:rPr>
          <w:b/>
          <w:color w:val="C00000"/>
        </w:rPr>
        <w:t xml:space="preserve">High risk of bias. </w:t>
      </w:r>
      <w:r>
        <w:t>The overall judgment for the GI hemorrhage outcome is high risk, driven by critical concerns in Domain 2 (unblinded four-arm design with substantial protocol violations affecting approximately 15% of the enrolled population), Domain 3 (missing outcome data for protocol violators with plausible systematic differences in GI bleeding risk), and Domain 4 (guaiac testing and other subjective components assessed without blinding). Domain 1 was rated as some concerns. Domain 5 was rated as some concerns in the absence of a pre-registered protocol.</w:t>
      </w:r>
    </w:p>
    <w:p w14:paraId="5E7B7040" w14:textId="77777777" w:rsidR="003A346C" w:rsidRDefault="003A346C">
      <w:pPr>
        <w:spacing w:after="120"/>
        <w:rPr>
          <w:lang w:eastAsia="ja-JP"/>
        </w:rPr>
      </w:pPr>
    </w:p>
    <w:p w14:paraId="655F786B" w14:textId="190B4F6F" w:rsidR="003A346C" w:rsidRDefault="003A346C" w:rsidP="003A346C">
      <w:pPr>
        <w:pStyle w:val="21"/>
      </w:pPr>
      <w:r>
        <w:rPr>
          <w:color w:val="1F497D"/>
          <w:sz w:val="24"/>
        </w:rPr>
        <w:t>Mills et al. 2024 (SUPPRESS-CHD)</w:t>
      </w:r>
    </w:p>
    <w:p w14:paraId="1A9B917E" w14:textId="303D2F8B" w:rsidR="003A346C" w:rsidRDefault="003A346C" w:rsidP="003A346C">
      <w:pPr>
        <w:spacing w:after="120"/>
        <w:jc w:val="both"/>
      </w:pPr>
      <w:r>
        <w:rPr>
          <w:sz w:val="20"/>
        </w:rPr>
        <w:t xml:space="preserve">Mills KI, Albert BD, Bechard LJ, et al. Stress ulcer prophylaxis versus placebo — a blinded pilot randomized controlled trial to evaluate the safety of two strategies in critically ill infants with congenital heart disease (SUPPRESS-CHD). </w:t>
      </w:r>
      <w:r>
        <w:rPr>
          <w:i/>
          <w:sz w:val="20"/>
        </w:rPr>
        <w:t xml:space="preserve">Pediatr Crit Care Med. </w:t>
      </w:r>
      <w:r>
        <w:rPr>
          <w:sz w:val="20"/>
        </w:rPr>
        <w:t>2024;25(2):118-127. PMID: 38240536. Trial registration: NCT03667703.</w:t>
      </w:r>
    </w:p>
    <w:p w14:paraId="69B60ECB" w14:textId="77777777" w:rsidR="003A346C" w:rsidRDefault="003A346C" w:rsidP="003A346C">
      <w:pPr>
        <w:spacing w:after="120"/>
        <w:jc w:val="both"/>
      </w:pPr>
      <w:r>
        <w:rPr>
          <w:b/>
        </w:rPr>
        <w:t xml:space="preserve">Domain 1 — Bias arising from the randomization process — </w:t>
      </w:r>
      <w:r>
        <w:rPr>
          <w:b/>
          <w:color w:val="375623"/>
        </w:rPr>
        <w:t xml:space="preserve">Low risk of bias. </w:t>
      </w:r>
      <w:r>
        <w:t>Randomization assignments were generated using SciRan® software with permuted blocks of sizes 2 and 4, stratified by admission type and age, constituting an appropriate method of sequence generation (1.1 Y). The randomization key code was housed in the investigational drug services pharmacy and concealed from all study investigators (1.2 Y), ensuring robust allocation concealment. Stratified block randomization effectively prevented systematic baseline imbalances; the two groups were well-matched across demographic and clinical characteristics, although a small difference in weight-for-length z-score was noted (1.3 N). This domain is rated as low risk of bias.</w:t>
      </w:r>
    </w:p>
    <w:p w14:paraId="08627776" w14:textId="77777777" w:rsidR="003A346C" w:rsidRDefault="003A346C" w:rsidP="003A346C">
      <w:pPr>
        <w:spacing w:after="120"/>
        <w:jc w:val="both"/>
      </w:pPr>
      <w:r>
        <w:rPr>
          <w:b/>
        </w:rPr>
        <w:t xml:space="preserve">Domain 2 — Bias due to deviations from intended interventions — </w:t>
      </w:r>
      <w:r>
        <w:rPr>
          <w:b/>
          <w:color w:val="375623"/>
        </w:rPr>
        <w:t xml:space="preserve">Low risk of bias. </w:t>
      </w:r>
      <w:r>
        <w:t xml:space="preserve">This was a prospective, double-blinded, placebo-controlled trial. Participants, bedside clinicians, and outcome </w:t>
      </w:r>
      <w:r>
        <w:lastRenderedPageBreak/>
        <w:t>assessors were all explicitly stated to be blinded to trial allocation throughout the study period (2.1 N, 2.2 N). Both intravenous and enteral formulations of the study drug were prepared to be visually indistinguishable from placebo. No protocol deviations that would compromise blinding were reported for the intention-to-treat population. The primary analysis was conducted according to the intention-to-treat principle, including all 68 randomized patients (2.6 Y). This domain is rated as low risk of bias for the ITT analysis.</w:t>
      </w:r>
    </w:p>
    <w:p w14:paraId="448DAB0E" w14:textId="77777777" w:rsidR="003A346C" w:rsidRDefault="003A346C" w:rsidP="003A346C">
      <w:pPr>
        <w:spacing w:after="120"/>
        <w:jc w:val="both"/>
      </w:pPr>
      <w:r>
        <w:rPr>
          <w:b/>
        </w:rPr>
        <w:t xml:space="preserve">Domain 3 — Bias due to missing outcome data — </w:t>
      </w:r>
      <w:r>
        <w:rPr>
          <w:b/>
          <w:color w:val="375623"/>
        </w:rPr>
        <w:t xml:space="preserve">Low risk of bias. </w:t>
      </w:r>
      <w:r>
        <w:t>All 68 randomized patients were included in the ITT analysis, and GI bleeding outcome data were available for the complete study population (3.1 Y). There is no concern regarding missing outcome data for this analysis.</w:t>
      </w:r>
    </w:p>
    <w:p w14:paraId="09E812FA" w14:textId="19C4B212" w:rsidR="003A346C" w:rsidRDefault="003A346C" w:rsidP="003A346C">
      <w:pPr>
        <w:spacing w:after="120"/>
        <w:jc w:val="both"/>
      </w:pPr>
      <w:r>
        <w:rPr>
          <w:b/>
        </w:rPr>
        <w:t xml:space="preserve">Domain 4 — Bias in measurement of the outcome — </w:t>
      </w:r>
      <w:r>
        <w:rPr>
          <w:b/>
          <w:color w:val="375623"/>
        </w:rPr>
        <w:t xml:space="preserve">Low risk of bias. </w:t>
      </w:r>
      <w:r>
        <w:rPr>
          <w:rFonts w:hint="eastAsia"/>
          <w:lang w:eastAsia="ja-JP"/>
        </w:rPr>
        <w:t>U</w:t>
      </w:r>
      <w:r>
        <w:t>pper GI bleeding was defined as bloody gastric drainage or a positive fecal occult blood test with stable haemoglobin and vital signs (4.1 N). There was no indication of differential measurement methods between groups (4.2 N). Outcome assessors were explicitly stated to be blinded to treatment allocation throughout the study (4.3 N). This domain is rated as low risk of bias.</w:t>
      </w:r>
    </w:p>
    <w:p w14:paraId="272CC0F6"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The trial was prospectively registered at ClinicalTrials.gov (NCT03667703); however, the consistency between the registered protocol and the full set of reported outcomes and analyses was not formally verified (5.1 NI). GI bleeding was assessed using a single pre-specified composite definition without evidence of multiple alternative measurement approaches (5.2 N). Multiple secondary outcomes and both ITT and as-treated analyses were pre-specified; the possibility of selective emphasis on certain analyses cannot be entirely excluded (5.3 PN).</w:t>
      </w:r>
    </w:p>
    <w:p w14:paraId="3EEF27AD" w14:textId="3655B8A5" w:rsidR="003A346C" w:rsidRPr="003A346C" w:rsidRDefault="003A346C" w:rsidP="003A346C">
      <w:pPr>
        <w:spacing w:after="280"/>
        <w:jc w:val="both"/>
        <w:rPr>
          <w:lang w:eastAsia="ja-JP"/>
        </w:rPr>
      </w:pPr>
      <w:r>
        <w:rPr>
          <w:b/>
        </w:rPr>
        <w:t xml:space="preserve">Overall risk of bias — </w:t>
      </w:r>
      <w:r>
        <w:rPr>
          <w:b/>
          <w:color w:val="BF8F00"/>
        </w:rPr>
        <w:t xml:space="preserve">Some concerns. </w:t>
      </w:r>
      <w:r>
        <w:t>The overall judgment for the GI bleeding outcome under ITT analysis is some concerns. Domains 1 through 4 were all rated as low risk of bias, supported by the robust double-blind design, pharmacy-based allocation concealment, ITT analysis, and blinded outcome assessment with a validated, quantitative outcome definition. The some concerns rating reflects the inability to fully verify consistency with the registered protocol (Domain 5).</w:t>
      </w:r>
    </w:p>
    <w:p w14:paraId="18281178" w14:textId="77777777" w:rsidR="003A346C" w:rsidRDefault="003A346C">
      <w:pPr>
        <w:spacing w:after="120"/>
        <w:rPr>
          <w:lang w:eastAsia="ja-JP"/>
        </w:rPr>
      </w:pPr>
    </w:p>
    <w:p w14:paraId="17565C4B" w14:textId="77777777" w:rsidR="003A346C" w:rsidRDefault="003A346C" w:rsidP="003A346C">
      <w:pPr>
        <w:pStyle w:val="21"/>
      </w:pPr>
      <w:r>
        <w:rPr>
          <w:color w:val="1F497D"/>
          <w:sz w:val="24"/>
        </w:rPr>
        <w:t>Yildizdas et al. 2002</w:t>
      </w:r>
    </w:p>
    <w:p w14:paraId="671F62DD" w14:textId="77777777" w:rsidR="003A346C" w:rsidRDefault="003A346C" w:rsidP="003A346C">
      <w:pPr>
        <w:spacing w:after="120"/>
        <w:jc w:val="both"/>
      </w:pPr>
      <w:r>
        <w:rPr>
          <w:sz w:val="20"/>
        </w:rPr>
        <w:t xml:space="preserve">Yildizdas D, Yapicioglu H, Yilmaz HL. Occurrence of ventilator-associated pneumonia in mechanically ventilated pediatric intensive care patients during stress ulcer prophylaxis with sucralfate, ranitidine, and omeprazole. </w:t>
      </w:r>
      <w:r>
        <w:rPr>
          <w:i/>
          <w:sz w:val="20"/>
        </w:rPr>
        <w:t xml:space="preserve">J Crit Care. </w:t>
      </w:r>
      <w:r>
        <w:rPr>
          <w:sz w:val="20"/>
        </w:rPr>
        <w:t>2002;17(4):240-245. PMID: 12501151.</w:t>
      </w:r>
    </w:p>
    <w:p w14:paraId="3A20AC46" w14:textId="77777777" w:rsidR="003A346C" w:rsidRDefault="003A346C" w:rsidP="003A346C">
      <w:pPr>
        <w:spacing w:after="120"/>
        <w:jc w:val="both"/>
      </w:pPr>
      <w:r>
        <w:rPr>
          <w:b/>
        </w:rPr>
        <w:t xml:space="preserve">Domain 1 — Bias arising from the randomization process — </w:t>
      </w:r>
      <w:r>
        <w:rPr>
          <w:b/>
          <w:color w:val="C00000"/>
        </w:rPr>
        <w:t xml:space="preserve">High risk of bias. </w:t>
      </w:r>
      <w:r>
        <w:t>The allocation sequence was generated using a computer-generated random number table, which is an appropriate method of sequence generation (1.1 Y). However, the study did not describe any mechanism of allocation concealment (1.2 PN). Without concealment, investigators could have anticipated upcoming assignments before enrolling patients, potentially compromising the integrity of the randomization process. No clinically meaningful baseline imbalances were apparent across the four groups (1.3 PN), but the absence of described concealment warrants a judgment of high risk.</w:t>
      </w:r>
    </w:p>
    <w:p w14:paraId="127DDA2A" w14:textId="77777777" w:rsidR="003A346C" w:rsidRDefault="003A346C" w:rsidP="003A346C">
      <w:pPr>
        <w:spacing w:after="120"/>
        <w:jc w:val="both"/>
      </w:pPr>
      <w:r>
        <w:rPr>
          <w:b/>
        </w:rPr>
        <w:t xml:space="preserve">Domain 2 — Bias due to deviations from intended interventions — </w:t>
      </w:r>
      <w:r>
        <w:rPr>
          <w:b/>
          <w:color w:val="C00000"/>
        </w:rPr>
        <w:t xml:space="preserve">High risk of bias. </w:t>
      </w:r>
      <w:r>
        <w:t xml:space="preserve">The trial was explicitly conducted in an unblinded manner; neither participants nor caregivers were masked to group assignment (2.1 PY, 2.2 Y). No placebo was used, making it apparent to both patients and clinicians which treatment each patient received. Knowledge of group assignment can lead clinicians to provide additional co-interventions to patients perceived to be in a disadvantaged group, and this possibility cannot be excluded here (2.3 PY). Furthermore, 40 of the 200 randomized patients (20%) </w:t>
      </w:r>
      <w:r>
        <w:lastRenderedPageBreak/>
        <w:t>were excluded after randomization, and the remaining 160 patients were analyzed without reference to original allocation, violating the intention-to-treat principle (2.6 N). Given the magnitude of the exclusion (20%), this failure to perform an intention-to-treat analysis has the potential for a substantial impact on the estimated treatment effect (2.7 PY).</w:t>
      </w:r>
    </w:p>
    <w:p w14:paraId="012743D8" w14:textId="77777777" w:rsidR="003A346C" w:rsidRDefault="003A346C" w:rsidP="003A346C">
      <w:pPr>
        <w:spacing w:after="120"/>
        <w:jc w:val="both"/>
      </w:pPr>
      <w:r>
        <w:rPr>
          <w:b/>
        </w:rPr>
        <w:t xml:space="preserve">Domain 3 — Bias due to missing outcome data — </w:t>
      </w:r>
      <w:r>
        <w:rPr>
          <w:b/>
          <w:color w:val="C00000"/>
        </w:rPr>
        <w:t xml:space="preserve">High risk of bias. </w:t>
      </w:r>
      <w:r>
        <w:t>Outcome data were unavailable for the 40 patients excluded after randomization (3.1 N), representing 20% of the original sample. The exclusion criteria included death within the first 48 hours; because death is associated with higher illness severity, and severe illness is in turn associated with a greater risk of stress-induced GI bleeding, it is plausible that the missing outcome data are not independent of the true outcome values (3.2 PN, 3.3 PY). The available information was insufficient to confidently determine whether missingness in this outcome directly depended on its true value (3.4 NI). This combination of responses yields a judgment of high risk.</w:t>
      </w:r>
    </w:p>
    <w:p w14:paraId="5A626CFD" w14:textId="77777777" w:rsidR="003A346C" w:rsidRDefault="003A346C" w:rsidP="003A346C">
      <w:pPr>
        <w:spacing w:after="120"/>
        <w:jc w:val="both"/>
      </w:pPr>
      <w:r>
        <w:rPr>
          <w:b/>
        </w:rPr>
        <w:t xml:space="preserve">Domain 4 — Bias in measurement of the outcome — </w:t>
      </w:r>
      <w:r>
        <w:rPr>
          <w:b/>
          <w:color w:val="C00000"/>
        </w:rPr>
        <w:t xml:space="preserve">High risk of bias. </w:t>
      </w:r>
      <w:r>
        <w:t>The method used to ascertain GI bleeding was appropriate (4.1 N), and there was no evidence that measurement methods differed between groups (4.2 N). However, the study was unblinded, meaning that outcome assessors were aware of each patient's intervention assignment (4.3 PY). GI bleeding was defined as "macroscopic bleeding" without a predefined quantitative threshold, making it a subjective, qualitative endpoint. Assessors aware that a patient belongs to the control group may apply a lower threshold for classifying a bleeding event as clinically significant, introducing systematic evaluator bias (4.4 PY, 4.5 PY).</w:t>
      </w:r>
    </w:p>
    <w:p w14:paraId="0CFC169B" w14:textId="77777777" w:rsidR="003A346C" w:rsidRDefault="003A346C" w:rsidP="003A346C">
      <w:pPr>
        <w:spacing w:after="120"/>
        <w:jc w:val="both"/>
      </w:pPr>
      <w:r>
        <w:rPr>
          <w:b/>
        </w:rPr>
        <w:t xml:space="preserve">Domain 5 — Bias in selection of the reported result — </w:t>
      </w:r>
      <w:r>
        <w:rPr>
          <w:b/>
          <w:color w:val="BF8F00"/>
        </w:rPr>
        <w:t xml:space="preserve">Some concerns. </w:t>
      </w:r>
      <w:r>
        <w:t>No trial registration number or pre-published protocol was identified, consistent with publication norms prior to mandatory registration (5.1 NI). There was no evidence of multiple outcome measurements at different time points (5.2 N) or selective reporting from multiple analytical approaches (5.3 PN). Nonetheless, the absence of a pre-specified analysis plan means that selective reporting cannot be entirely excluded.</w:t>
      </w:r>
    </w:p>
    <w:p w14:paraId="3DFBFE71" w14:textId="77777777" w:rsidR="003A346C" w:rsidRDefault="003A346C" w:rsidP="003A346C">
      <w:pPr>
        <w:spacing w:after="280"/>
        <w:jc w:val="both"/>
      </w:pPr>
      <w:r>
        <w:rPr>
          <w:b/>
        </w:rPr>
        <w:t xml:space="preserve">Overall risk of bias — </w:t>
      </w:r>
      <w:r>
        <w:rPr>
          <w:b/>
          <w:color w:val="C00000"/>
        </w:rPr>
        <w:t xml:space="preserve">High risk of bias. </w:t>
      </w:r>
      <w:r>
        <w:t>The overall judgment for the GI bleeding outcome is high risk, driven by critical concerns across four domains: lack of allocation concealment (Domain 1), an unblinded design with substantial post-randomization exclusions precluding ITT analysis (Domain 2), potentially non-random missing outcome data (Domain 3), and a qualitative, subjectively assessed endpoint in an unblinded setting (Domain 4).</w:t>
      </w:r>
    </w:p>
    <w:p w14:paraId="1454E15D" w14:textId="77777777" w:rsidR="003A346C" w:rsidRPr="003A346C" w:rsidRDefault="003A346C">
      <w:pPr>
        <w:spacing w:after="120"/>
        <w:rPr>
          <w:lang w:eastAsia="ja-JP"/>
        </w:rPr>
      </w:pPr>
    </w:p>
    <w:p w14:paraId="1EB9A635" w14:textId="77777777" w:rsidR="003A346C" w:rsidRDefault="003A346C">
      <w:pPr>
        <w:spacing w:after="120"/>
        <w:rPr>
          <w:lang w:eastAsia="ja-JP"/>
        </w:rPr>
      </w:pPr>
    </w:p>
    <w:p w14:paraId="58D101C8" w14:textId="06B989CE" w:rsidR="00106783" w:rsidRDefault="00106783" w:rsidP="006C08D5">
      <w:pPr>
        <w:spacing w:after="40"/>
      </w:pPr>
      <w:r>
        <w:rPr>
          <w:b/>
        </w:rPr>
        <w:t>2.  Clinically Significant GI Bleeding</w:t>
      </w:r>
    </w:p>
    <w:p w14:paraId="58D101C9" w14:textId="06B989CF" w:rsidR="00106783" w:rsidRDefault="00794277" w:rsidP="006C08D5">
      <w:pPr>
        <w:spacing w:after="40"/>
      </w:pPr>
      <w:r>
        <w:rPr>
          <w:color w:val="1F497D"/>
          <w:sz w:val="24"/>
        </w:rPr>
        <w:t>Abu El-Ella et al. 2022</w:t>
      </w:r>
    </w:p>
    <w:p w14:paraId="653E3F61" w14:textId="77777777" w:rsidR="00106783" w:rsidRDefault="00106783" w:rsidP="00106783">
      <w:pPr>
        <w:spacing w:after="120"/>
        <w:jc w:val="both"/>
      </w:pPr>
      <w:r>
        <w:rPr>
          <w:sz w:val="20"/>
        </w:rPr>
        <w:t xml:space="preserve">Abu El-Ella SS, El-Mekkawy MS, Mohamed Selim A. Stress ulcer prophylaxis for critically ill children: routine use needs to be re-examined. </w:t>
      </w:r>
      <w:r>
        <w:rPr>
          <w:i/>
          <w:sz w:val="20"/>
        </w:rPr>
        <w:t xml:space="preserve">Anales de Pediatría. </w:t>
      </w:r>
      <w:r>
        <w:rPr>
          <w:sz w:val="20"/>
        </w:rPr>
        <w:t>2022;96:402-409. PMID: 35701033.</w:t>
      </w:r>
    </w:p>
    <w:p w14:paraId="20125165" w14:textId="77777777" w:rsidR="00106783" w:rsidRDefault="00106783" w:rsidP="00106783">
      <w:pPr>
        <w:spacing w:after="120"/>
        <w:jc w:val="both"/>
      </w:pPr>
      <w:r>
        <w:rPr>
          <w:b/>
        </w:rPr>
        <w:t xml:space="preserve">Domain 1 — Bias arising from the randomization process — </w:t>
      </w:r>
      <w:r>
        <w:rPr>
          <w:b/>
          <w:color w:val="C00000"/>
        </w:rPr>
        <w:t xml:space="preserve">High risk of bias. </w:t>
      </w:r>
      <w:r>
        <w:t xml:space="preserve">The study used block randomization generated via an online tool to achieve balanced allocation between the two groups, which constitutes an appropriate method of sequence generation (1.1 Y). However, the trial was conducted as an open-label study, and no method of allocation concealment was described (1.2 N). With no concealment in place, those responsible for enrolling patients could have been aware of the upcoming allocation, potentially allowing selective enrollment. No clinically significant baseline </w:t>
      </w:r>
      <w:r>
        <w:lastRenderedPageBreak/>
        <w:t>imbalances were apparent between the two groups (1.3 PN), but the absence of allocation concealment alone is sufficient to warrant a judgment of high risk for this domain.</w:t>
      </w:r>
    </w:p>
    <w:p w14:paraId="79C94B68" w14:textId="25D7A1F1" w:rsidR="00106783" w:rsidRDefault="00106783" w:rsidP="00106783">
      <w:pPr>
        <w:spacing w:after="120"/>
        <w:jc w:val="both"/>
      </w:pPr>
      <w:r>
        <w:rPr>
          <w:b/>
        </w:rPr>
        <w:t xml:space="preserve">Domain 2 — Bias due to deviations from intended interventions — </w:t>
      </w:r>
      <w:r>
        <w:rPr>
          <w:b/>
          <w:color w:val="BF8F00"/>
        </w:rPr>
        <w:t xml:space="preserve">Some concerns. </w:t>
      </w:r>
      <w:r>
        <w:t>The trial was explicitly conducted as an open-label study, in which participants were not blinded to treatment allocation, as stated in the methods. Both participants and caregivers were therefore aware of group assignment (2.1 Y, 2.2 Y). Despite this, the authors reported that no protocol deviations occurred in either group during the study period (2.3 N). For Part 2 of Domain 2, the methods section does not explicitly state whether an intention-to-treat analysis was performed (2.6 NI). In the absence of confirmation that an appropriate ITT analysis was conducted, this domain cannot be rated as low risk, yielding an overall judgment of some concerns.</w:t>
      </w:r>
    </w:p>
    <w:p w14:paraId="3A5ECC11" w14:textId="77777777" w:rsidR="00106783" w:rsidRDefault="00106783" w:rsidP="00106783">
      <w:pPr>
        <w:spacing w:after="120"/>
        <w:jc w:val="both"/>
      </w:pPr>
      <w:r>
        <w:rPr>
          <w:b/>
        </w:rPr>
        <w:t xml:space="preserve">Domain 3 — Bias due to missing outcome data — </w:t>
      </w:r>
      <w:r>
        <w:rPr>
          <w:b/>
          <w:color w:val="375623"/>
        </w:rPr>
        <w:t xml:space="preserve">Low risk of bias. </w:t>
      </w:r>
      <w:r>
        <w:t>All 144 randomized patients (72 in each group) were included in the analysis, and no post-randomization exclusions were reported (3.1 Y). The CONSORT-style description confirms that outcome data were available for the complete study population without loss to follow-up. There is therefore no concern regarding missing outcome data for the GI bleeding outcome.</w:t>
      </w:r>
    </w:p>
    <w:p w14:paraId="61C7889B" w14:textId="0178FF07" w:rsidR="00106783" w:rsidRDefault="00106783" w:rsidP="00106783">
      <w:pPr>
        <w:spacing w:after="120"/>
        <w:jc w:val="both"/>
      </w:pPr>
      <w:r>
        <w:rPr>
          <w:b/>
        </w:rPr>
        <w:t xml:space="preserve">Domain 4 — Bias in measurement of the outcome — </w:t>
      </w:r>
      <w:r>
        <w:rPr>
          <w:b/>
          <w:color w:val="C00000"/>
        </w:rPr>
        <w:t xml:space="preserve">High risk of bias. </w:t>
      </w:r>
      <w:r>
        <w:t>The definition of clinically significant GI bleeding w</w:t>
      </w:r>
      <w:r>
        <w:rPr>
          <w:rFonts w:hint="eastAsia"/>
          <w:lang w:eastAsia="ja-JP"/>
        </w:rPr>
        <w:t>as</w:t>
      </w:r>
      <w:r>
        <w:t xml:space="preserve"> clearly stated: clinically significant bleeding as bleeding causing hemodynamic deterioration or requiring non-elective transfusion (4.1 N). There was no evidence of differential measurement methods between groups (4.2 N). However, because the trial was open-label, outcome assessors were aware of each patient's group assignment (4.3 Y). </w:t>
      </w:r>
      <w:r>
        <w:rPr>
          <w:rFonts w:hint="eastAsia"/>
          <w:lang w:eastAsia="ja-JP"/>
        </w:rPr>
        <w:t>A</w:t>
      </w:r>
      <w:r>
        <w:t>n assessor who knows that a patient is in the unprotected control group may apply a lower threshold for classifying observed clinical deterioration as constituting clinically significant GI bleeding (4.4 PY, 4.5 PY). This domain is rated as high risk of bias.</w:t>
      </w:r>
    </w:p>
    <w:p w14:paraId="3ED099BF" w14:textId="77777777" w:rsidR="00106783" w:rsidRDefault="00106783" w:rsidP="00106783">
      <w:pPr>
        <w:spacing w:after="120"/>
        <w:jc w:val="both"/>
      </w:pPr>
      <w:r>
        <w:rPr>
          <w:b/>
        </w:rPr>
        <w:t xml:space="preserve">Domain 5 — Bias in selection of the reported result — </w:t>
      </w:r>
      <w:r>
        <w:rPr>
          <w:b/>
          <w:color w:val="BF8F00"/>
        </w:rPr>
        <w:t xml:space="preserve">Some concerns. </w:t>
      </w:r>
      <w:r>
        <w:t>No trial registration number or pre-published protocol was identified for this study (5.1 NI), making it impossible to verify that the reported outcomes and analyses were pre-specified. GI bleeding was assessed using a single composite definition without evidence of multiple alternative outcome measurements (5.2 N). The possibility of selective reporting from multiple exploratory analyses cannot be entirely excluded (5.3 PN).</w:t>
      </w:r>
    </w:p>
    <w:p w14:paraId="63A6FC64" w14:textId="28E0565C" w:rsidR="00106783" w:rsidRDefault="00106783" w:rsidP="00106783">
      <w:pPr>
        <w:spacing w:after="280"/>
        <w:jc w:val="both"/>
      </w:pPr>
      <w:r>
        <w:rPr>
          <w:b/>
        </w:rPr>
        <w:t xml:space="preserve">Overall risk of bias — </w:t>
      </w:r>
      <w:r>
        <w:rPr>
          <w:b/>
          <w:color w:val="C00000"/>
        </w:rPr>
        <w:t xml:space="preserve">High risk of bias. </w:t>
      </w:r>
      <w:r>
        <w:t xml:space="preserve">The overall judgment for the </w:t>
      </w:r>
      <w:r>
        <w:rPr>
          <w:rFonts w:hint="eastAsia"/>
          <w:lang w:eastAsia="ja-JP"/>
        </w:rPr>
        <w:t>CS</w:t>
      </w:r>
      <w:r>
        <w:t>GI</w:t>
      </w:r>
      <w:r>
        <w:rPr>
          <w:rFonts w:hint="eastAsia"/>
          <w:lang w:eastAsia="ja-JP"/>
        </w:rPr>
        <w:t>B</w:t>
      </w:r>
      <w:r>
        <w:t xml:space="preserve"> outcome is high risk, driven by critical concerns in Domain 1 (absence of allocation concealment in an open-label design) and Domain 4 (subjective outcome components assessed without blinding). Domain 2 was rated as some concerns owing to the absence of explicit confirmation of an intention-to-treat analysis. Domain 5 was rated as some concerns in the absence of a pre-registered protocol.</w:t>
      </w:r>
    </w:p>
    <w:p w14:paraId="49A97F3A" w14:textId="77777777" w:rsidR="00C1234B" w:rsidRPr="00106783" w:rsidRDefault="00C1234B">
      <w:pPr>
        <w:spacing w:after="120"/>
        <w:rPr>
          <w:lang w:eastAsia="ja-JP"/>
        </w:rPr>
      </w:pPr>
    </w:p>
    <w:p w14:paraId="62286076" w14:textId="77777777" w:rsidR="00106783" w:rsidRDefault="00106783" w:rsidP="00106783">
      <w:pPr>
        <w:pStyle w:val="21"/>
      </w:pPr>
      <w:r>
        <w:rPr>
          <w:color w:val="1F497D"/>
          <w:sz w:val="24"/>
        </w:rPr>
        <w:t>Kavilapurapu et al. 2025</w:t>
      </w:r>
    </w:p>
    <w:p w14:paraId="462852F7" w14:textId="77777777" w:rsidR="00106783" w:rsidRDefault="00106783" w:rsidP="00106783">
      <w:pPr>
        <w:spacing w:after="120"/>
        <w:jc w:val="both"/>
      </w:pPr>
      <w:r>
        <w:rPr>
          <w:b/>
        </w:rPr>
        <w:t xml:space="preserve">Domain 1 — Bias arising from the randomization process — </w:t>
      </w:r>
      <w:r>
        <w:rPr>
          <w:b/>
          <w:color w:val="375623"/>
        </w:rPr>
        <w:t xml:space="preserve">Low risk of bias. </w:t>
      </w:r>
      <w:r>
        <w:t xml:space="preserve">The allocation sequence was generated using a computer-generated randomization sequence with block randomization of sizes 2 to 4, which constitutes an appropriate method of sequence generation (1.1 Y). Allocation concealment was achieved through the use of identical, opaque, sealed envelopes with serial numbers prepared by the principal investigator (1.2 Y). However, because block sizes were small (2 to 4), there is a theoretical possibility that the allocation of subsequent participants could be partially predicted once earlier assignments within a block become known (1.3 PN). No clinically </w:t>
      </w:r>
      <w:r>
        <w:lastRenderedPageBreak/>
        <w:t>meaningful baseline differences were observed across groups, but this limitation of small block sizes prevents a rating of low risk.</w:t>
      </w:r>
    </w:p>
    <w:p w14:paraId="1403A6F9" w14:textId="77777777" w:rsidR="00106783" w:rsidRDefault="00106783" w:rsidP="00106783">
      <w:pPr>
        <w:spacing w:after="120"/>
        <w:jc w:val="both"/>
      </w:pPr>
      <w:r>
        <w:rPr>
          <w:b/>
        </w:rPr>
        <w:t xml:space="preserve">Domain 2 — Bias due to deviations from intended interventions — </w:t>
      </w:r>
      <w:r>
        <w:rPr>
          <w:b/>
          <w:color w:val="375623"/>
        </w:rPr>
        <w:t xml:space="preserve">Low risk of bias. </w:t>
      </w:r>
      <w:r>
        <w:t>This trial was designed and executed as a double-blind, placebo-controlled study. Pantoprazole was reconstituted with normal saline and was colourless and visually indistinguishable from the placebo; participants were therefore unaware of their group assignment (2.1 N). The treating physician and outcome assessors were explicitly stated to be blinded to group allocations (2.2 N). The primary analysis was conducted in the intention-to-treat population, with all 301 randomized participants included in the analysis (2.6 Y). This domain is rated as low risk of bias.</w:t>
      </w:r>
    </w:p>
    <w:p w14:paraId="6B295EBE" w14:textId="77777777" w:rsidR="00106783" w:rsidRDefault="00106783" w:rsidP="00106783">
      <w:pPr>
        <w:spacing w:after="120"/>
        <w:jc w:val="both"/>
      </w:pPr>
      <w:r>
        <w:rPr>
          <w:b/>
        </w:rPr>
        <w:t xml:space="preserve">Domain 3 — Bias due to missing outcome data — </w:t>
      </w:r>
      <w:r>
        <w:rPr>
          <w:b/>
          <w:color w:val="375623"/>
        </w:rPr>
        <w:t xml:space="preserve">Low risk of bias. </w:t>
      </w:r>
      <w:r>
        <w:t>As with the overt GI bleeding outcome, all 301 randomized participants were included in the analysis with no post-randomization exclusions (3.1 Y). There is no concern regarding missing outcome data for this outcome.</w:t>
      </w:r>
    </w:p>
    <w:p w14:paraId="2D249962" w14:textId="77777777" w:rsidR="00106783" w:rsidRDefault="00106783" w:rsidP="00106783">
      <w:pPr>
        <w:spacing w:after="120"/>
        <w:jc w:val="both"/>
      </w:pPr>
      <w:r>
        <w:rPr>
          <w:b/>
        </w:rPr>
        <w:t xml:space="preserve">Domain 4 — Bias in measurement of the outcome — </w:t>
      </w:r>
      <w:r>
        <w:rPr>
          <w:b/>
          <w:color w:val="375623"/>
        </w:rPr>
        <w:t xml:space="preserve">Low risk of bias. </w:t>
      </w:r>
      <w:r>
        <w:t>Clinically significant GI bleeding was defined as overt bleeding complicated by at least one of the following within 24 hours of onset: a spontaneous decrease of more than 20 mmHg in systolic blood pressure, an increase of more than 20 beats per minute in heart rate, or a decrease of more than 2 g/dL in haemoglobin necessitating packed red blood cell transfusion — an explicit, quantitative definition that minimizes subjectivity (4.1 N). No differential measurement across groups was identified (4.2 N), and outcome assessors were blinded to group allocation (4.3 N).</w:t>
      </w:r>
    </w:p>
    <w:p w14:paraId="701D0FE7" w14:textId="77777777" w:rsidR="00106783" w:rsidRDefault="00106783" w:rsidP="00106783">
      <w:pPr>
        <w:spacing w:after="120"/>
        <w:jc w:val="both"/>
      </w:pPr>
      <w:r>
        <w:rPr>
          <w:b/>
        </w:rPr>
        <w:t xml:space="preserve">Domain 5 — Bias in selection of the reported result — </w:t>
      </w:r>
      <w:r>
        <w:rPr>
          <w:b/>
          <w:color w:val="BF8F00"/>
        </w:rPr>
        <w:t xml:space="preserve">Some concerns. </w:t>
      </w:r>
      <w:r>
        <w:t>Full pre-specification of the analysis plan could not be confirmed (5.1 NI), and the criteria used to define clinically significant GI bleeding incorporate multiple components treated as a single composite endpoint (5.2 N). The possibility of selective reporting from multiple secondary and subgroup analyses cannot be fully excluded (5.3 PN).</w:t>
      </w:r>
    </w:p>
    <w:p w14:paraId="25F7FFD0" w14:textId="107AF192" w:rsidR="00106783" w:rsidRDefault="00106783" w:rsidP="00106783">
      <w:pPr>
        <w:spacing w:after="280"/>
        <w:jc w:val="both"/>
      </w:pPr>
      <w:r>
        <w:rPr>
          <w:b/>
        </w:rPr>
        <w:t xml:space="preserve">Overall risk of bias — </w:t>
      </w:r>
      <w:r>
        <w:rPr>
          <w:b/>
          <w:color w:val="BF8F00"/>
        </w:rPr>
        <w:t xml:space="preserve">Some concerns. </w:t>
      </w:r>
      <w:r>
        <w:t xml:space="preserve">The overall judgment for the </w:t>
      </w:r>
      <w:r>
        <w:rPr>
          <w:rFonts w:hint="eastAsia"/>
          <w:lang w:eastAsia="ja-JP"/>
        </w:rPr>
        <w:t>CS</w:t>
      </w:r>
      <w:r>
        <w:t>GI</w:t>
      </w:r>
      <w:r>
        <w:rPr>
          <w:rFonts w:hint="eastAsia"/>
          <w:lang w:eastAsia="ja-JP"/>
        </w:rPr>
        <w:t>B</w:t>
      </w:r>
      <w:r>
        <w:t xml:space="preserve"> outcome is some concerns, for the same reasons as the overt GI bleeding outcome. The well-executed blinded design and ITT analysis underpin ratings of low risk for Domains 1 to 4. The some concerns rating reflects the inability to confirm complete consistency between the registered protocol and the reported analyses (Domain 5).</w:t>
      </w:r>
    </w:p>
    <w:p w14:paraId="5DCC9B86" w14:textId="77777777" w:rsidR="00C1234B" w:rsidRDefault="00C1234B">
      <w:pPr>
        <w:spacing w:after="120"/>
        <w:rPr>
          <w:lang w:eastAsia="ja-JP"/>
        </w:rPr>
      </w:pPr>
    </w:p>
    <w:p w14:paraId="65DB1873" w14:textId="77777777" w:rsidR="001D76DF" w:rsidRDefault="001D76DF" w:rsidP="001D76DF">
      <w:pPr>
        <w:pStyle w:val="21"/>
      </w:pPr>
      <w:r>
        <w:rPr>
          <w:color w:val="1F497D"/>
          <w:sz w:val="24"/>
        </w:rPr>
        <w:t>López-Herce et al. 1992</w:t>
      </w:r>
    </w:p>
    <w:p w14:paraId="2145EF56" w14:textId="77777777" w:rsidR="001D76DF" w:rsidRDefault="001D76DF" w:rsidP="001D76DF">
      <w:pPr>
        <w:spacing w:after="120"/>
        <w:jc w:val="both"/>
        <w:rPr>
          <w:sz w:val="20"/>
        </w:rPr>
      </w:pPr>
      <w:r>
        <w:rPr>
          <w:sz w:val="20"/>
        </w:rPr>
        <w:t xml:space="preserve">López-Herce J, Dorao P, Elola P, et al. Frequency and prophylaxis of upper gastrointestinal hemorrhage in critically ill children: a prospective study comparing the efficacy of almagate, ranitidine, and sucralfate. </w:t>
      </w:r>
      <w:r>
        <w:rPr>
          <w:i/>
          <w:sz w:val="20"/>
        </w:rPr>
        <w:t xml:space="preserve">Critical Care Medicine. </w:t>
      </w:r>
      <w:r>
        <w:rPr>
          <w:sz w:val="20"/>
        </w:rPr>
        <w:t>1992;20(8):1082-1089. PMID: 1643886.</w:t>
      </w:r>
    </w:p>
    <w:p w14:paraId="12FB7DE0" w14:textId="77777777" w:rsidR="001D76DF" w:rsidRDefault="001D76DF" w:rsidP="001D76DF">
      <w:pPr>
        <w:spacing w:after="120"/>
        <w:jc w:val="both"/>
      </w:pPr>
      <w:r>
        <w:rPr>
          <w:b/>
        </w:rPr>
        <w:t xml:space="preserve">Domain 1 — Bias arising from the randomization process — </w:t>
      </w:r>
      <w:r>
        <w:rPr>
          <w:b/>
          <w:color w:val="BF8F00"/>
        </w:rPr>
        <w:t xml:space="preserve">Some concerns. </w:t>
      </w:r>
      <w:r>
        <w:t>The method of sequence generation was not explicitly reported (1.1 information not directly assessed). No description of allocation concealment was provided (1.2 NI). Baseline characteristics were well balanced across the four groups (1.3 N). Because allocation concealment was not described, this domain is rated as some concerns.</w:t>
      </w:r>
    </w:p>
    <w:p w14:paraId="5518C6BA" w14:textId="77777777" w:rsidR="001D76DF" w:rsidRDefault="001D76DF" w:rsidP="001D76DF">
      <w:pPr>
        <w:spacing w:after="120"/>
        <w:jc w:val="both"/>
      </w:pPr>
      <w:r>
        <w:rPr>
          <w:b/>
        </w:rPr>
        <w:t xml:space="preserve">Domain 2 — Bias due to deviations from intended interventions — </w:t>
      </w:r>
      <w:r>
        <w:rPr>
          <w:b/>
          <w:color w:val="C00000"/>
        </w:rPr>
        <w:t xml:space="preserve">High risk of bias. </w:t>
      </w:r>
      <w:r>
        <w:t xml:space="preserve">The trial was conducted without blinding; the control arm received no treatment, so participants and providers could readily identify group assignment (2.1 PY, 2.2 PY). Protocol deviations were observed: three patients in the almagate group had their treatment changed due to adverse effects (2.3 PY), and these </w:t>
      </w:r>
      <w:r>
        <w:lastRenderedPageBreak/>
        <w:t>deviations were not balanced across groups (2.4 N). Importantly, 25 of 165 initially enrolled patients were found to have protocol violations and were excluded, representing approximately 15% of the enrolled population; this substantial rate of post-randomization deviation is likely to have meaningfully influenced the estimated treatment effect (2.6 NI). This domain is rated as high risk of bias.</w:t>
      </w:r>
    </w:p>
    <w:p w14:paraId="328CAAEF" w14:textId="77777777" w:rsidR="001D76DF" w:rsidRDefault="001D76DF" w:rsidP="001D76DF">
      <w:pPr>
        <w:spacing w:after="120"/>
        <w:jc w:val="both"/>
      </w:pPr>
      <w:r>
        <w:rPr>
          <w:b/>
        </w:rPr>
        <w:t xml:space="preserve">Domain 3 — Bias due to missing outcome data — </w:t>
      </w:r>
      <w:r>
        <w:rPr>
          <w:b/>
          <w:color w:val="C00000"/>
        </w:rPr>
        <w:t xml:space="preserve">High risk of bias. </w:t>
      </w:r>
      <w:r>
        <w:t>Although the original assessment considered GI bleeding outcome data to be available for all analyzed patients, the exclusion of 25 protocol violators from the 165 initially enrolled participants introduces substantial uncertainty about outcome data completeness (3.1 N for the full enrolled cohort). There is no evidence confirming that the missing outcome data for these individuals are unrelated to the true GI bleeding risk (3.2 PN). Patients who violated the protocol may have differed systematically in terms of disease severity or exposure to procedures associated with GI bleeding (3.3 PY). Given the scale of protocol non-adherence and the potential dependency of missingness on true GI bleeding risk, this domain is rated as high risk of bias.</w:t>
      </w:r>
    </w:p>
    <w:p w14:paraId="598652BD" w14:textId="77777777" w:rsidR="001D76DF" w:rsidRDefault="001D76DF" w:rsidP="001D76DF">
      <w:pPr>
        <w:spacing w:after="120"/>
        <w:jc w:val="both"/>
      </w:pPr>
      <w:r>
        <w:rPr>
          <w:b/>
        </w:rPr>
        <w:t xml:space="preserve">Domain 4 — Bias in measurement of the outcome — </w:t>
      </w:r>
      <w:r>
        <w:rPr>
          <w:b/>
          <w:color w:val="C00000"/>
        </w:rPr>
        <w:t xml:space="preserve">High risk of bias. </w:t>
      </w:r>
      <w:r>
        <w:t>Important upper GI hemorrhage was defined as bleeding with hematological and/or hemodynamic consequences, constituting an appropriate composite endpoint (4.1 N). No differential measurement methods between groups were identified (4.2 N). However, the trial was conducted without blinding; outcome assessors were aware of treatment allocation in all arms (4.3 PY). The GI hemorrhage endpoint included assessment of microscopic bleeding using guaiac testing of gastric aspirates, a qualitative test susceptible to assessor interpretation; an evaluator aware of treatment group may apply differential thresholds for classifying borderline findings as clinically significant (4.4 PY, 4.5 PY). This domain is rated as high risk of bias.</w:t>
      </w:r>
    </w:p>
    <w:p w14:paraId="1120F42E" w14:textId="77777777" w:rsidR="001D76DF" w:rsidRDefault="001D76DF" w:rsidP="001D76DF">
      <w:pPr>
        <w:spacing w:after="120"/>
        <w:jc w:val="both"/>
      </w:pPr>
      <w:r>
        <w:rPr>
          <w:b/>
        </w:rPr>
        <w:t xml:space="preserve">Domain 5 — Bias in selection of the reported result — </w:t>
      </w:r>
      <w:r>
        <w:rPr>
          <w:b/>
          <w:color w:val="BF8F00"/>
        </w:rPr>
        <w:t xml:space="preserve">Some concerns. </w:t>
      </w:r>
      <w:r>
        <w:t>No trial registration number or pre-published analysis plan was identified for this study (5.1 NI). Upper GI hemorrhage was assessed using a single predefined composite definition without evidence of multiple alternative measurement approaches (5.2 N). The primary statistical comparison was pre-specified across all four arms without indication of multiple alternative analytical approaches (5.3 N). Given the absence of a registered protocol, selective reporting of subgroup analyses cannot be entirely excluded. This domain is rated as some concerns.</w:t>
      </w:r>
    </w:p>
    <w:p w14:paraId="3844422F" w14:textId="5F6CE5B4" w:rsidR="001D76DF" w:rsidRDefault="001D76DF" w:rsidP="001D76DF">
      <w:pPr>
        <w:spacing w:after="280"/>
        <w:jc w:val="both"/>
      </w:pPr>
      <w:r>
        <w:rPr>
          <w:b/>
        </w:rPr>
        <w:t xml:space="preserve">Overall risk of bias — </w:t>
      </w:r>
      <w:r>
        <w:rPr>
          <w:b/>
          <w:color w:val="C00000"/>
        </w:rPr>
        <w:t xml:space="preserve">High risk of bias. </w:t>
      </w:r>
      <w:r>
        <w:t xml:space="preserve">The overall judgment for the </w:t>
      </w:r>
      <w:r>
        <w:rPr>
          <w:rFonts w:hint="eastAsia"/>
          <w:lang w:eastAsia="ja-JP"/>
        </w:rPr>
        <w:t>CS</w:t>
      </w:r>
      <w:r>
        <w:t>GI</w:t>
      </w:r>
      <w:r>
        <w:rPr>
          <w:rFonts w:hint="eastAsia"/>
          <w:lang w:eastAsia="ja-JP"/>
        </w:rPr>
        <w:t>B</w:t>
      </w:r>
      <w:r>
        <w:t xml:space="preserve"> outcome is high risk, driven by critical concerns in Domain 2 (unblinded four-arm design with substantial protocol violations affecting approximately 15% of the enrolled population), Domain 3 (missing outcome data for protocol violators with plausible systematic differences in GI bleeding risk), and Domain 4 (guaiac testing and other subjective components assessed without blinding). Domain 1 was rated as some concerns. Domain 5 was rated as some concerns in the absence of a pre-registered protocol.</w:t>
      </w:r>
    </w:p>
    <w:p w14:paraId="071FB122" w14:textId="77777777" w:rsidR="001D76DF" w:rsidRDefault="001D76DF">
      <w:pPr>
        <w:spacing w:after="120"/>
        <w:rPr>
          <w:lang w:eastAsia="ja-JP"/>
        </w:rPr>
      </w:pPr>
    </w:p>
    <w:p w14:paraId="52E0D427" w14:textId="58210184" w:rsidR="001D76DF" w:rsidRDefault="001D76DF" w:rsidP="001D76DF">
      <w:pPr>
        <w:pStyle w:val="21"/>
      </w:pPr>
      <w:r>
        <w:rPr>
          <w:color w:val="1F497D"/>
          <w:sz w:val="24"/>
        </w:rPr>
        <w:t>Mills et al. 2024 (SUPPRESS-CHD)</w:t>
      </w:r>
    </w:p>
    <w:p w14:paraId="1637CD9D" w14:textId="5B5FAC6F" w:rsidR="001D76DF" w:rsidRDefault="001D76DF" w:rsidP="001D76DF">
      <w:pPr>
        <w:spacing w:after="120"/>
        <w:jc w:val="both"/>
      </w:pPr>
      <w:r>
        <w:rPr>
          <w:sz w:val="20"/>
        </w:rPr>
        <w:t xml:space="preserve">Mills KI, Albert BD, Bechard LJ, et al. Stress ulcer prophylaxis versus placebo — a blinded pilot randomized controlled trial to evaluate the safety of two strategies in critically ill infants with congenital heart disease (SUPPRESS-CHD). </w:t>
      </w:r>
      <w:r>
        <w:rPr>
          <w:i/>
          <w:sz w:val="20"/>
        </w:rPr>
        <w:t xml:space="preserve">Pediatr Crit Care Med. </w:t>
      </w:r>
      <w:r>
        <w:rPr>
          <w:sz w:val="20"/>
        </w:rPr>
        <w:t>2024;25(2):118-127. PMID: 38240536. Trial registration: NCT03667703.</w:t>
      </w:r>
    </w:p>
    <w:p w14:paraId="76020982" w14:textId="77777777" w:rsidR="001D76DF" w:rsidRDefault="001D76DF" w:rsidP="001D76DF">
      <w:pPr>
        <w:spacing w:after="120"/>
        <w:jc w:val="both"/>
      </w:pPr>
      <w:r>
        <w:rPr>
          <w:b/>
        </w:rPr>
        <w:t xml:space="preserve">Domain 1 — Bias arising from the randomization process — </w:t>
      </w:r>
      <w:r>
        <w:rPr>
          <w:b/>
          <w:color w:val="375623"/>
        </w:rPr>
        <w:t xml:space="preserve">Low risk of bias. </w:t>
      </w:r>
      <w:r>
        <w:t xml:space="preserve">Randomization assignments were generated using SciRan® software with permuted blocks of sizes 2 and 4, stratified </w:t>
      </w:r>
      <w:r>
        <w:lastRenderedPageBreak/>
        <w:t>by admission type and age, constituting an appropriate method of sequence generation (1.1 Y). The randomization key code was housed in the investigational drug services pharmacy and concealed from all study investigators (1.2 Y), ensuring robust allocation concealment. Stratified block randomization effectively prevented systematic baseline imbalances; the two groups were well-matched across demographic and clinical characteristics, although a small difference in weight-for-length z-score was noted (1.3 N). This domain is rated as low risk of bias.</w:t>
      </w:r>
    </w:p>
    <w:p w14:paraId="4733B5A4" w14:textId="77777777" w:rsidR="001D76DF" w:rsidRDefault="001D76DF" w:rsidP="001D76DF">
      <w:pPr>
        <w:spacing w:after="120"/>
        <w:jc w:val="both"/>
      </w:pPr>
      <w:r>
        <w:rPr>
          <w:b/>
        </w:rPr>
        <w:t xml:space="preserve">Domain 2 — Bias due to deviations from intended interventions — </w:t>
      </w:r>
      <w:r>
        <w:rPr>
          <w:b/>
          <w:color w:val="375623"/>
        </w:rPr>
        <w:t xml:space="preserve">Low risk of bias. </w:t>
      </w:r>
      <w:r>
        <w:t>This was a prospective, double-blinded, placebo-controlled trial. Participants, bedside clinicians, and outcome assessors were all explicitly stated to be blinded to trial allocation throughout the study period (2.1 N, 2.2 N). Both intravenous and enteral formulations of the study drug were prepared to be visually indistinguishable from placebo. No protocol deviations that would compromise blinding were reported for the intention-to-treat population. The primary analysis was conducted according to the intention-to-treat principle, including all 68 randomized patients (2.6 Y). This domain is rated as low risk of bias for the ITT analysis.</w:t>
      </w:r>
    </w:p>
    <w:p w14:paraId="25CC2055" w14:textId="77777777" w:rsidR="001D76DF" w:rsidRDefault="001D76DF" w:rsidP="001D76DF">
      <w:pPr>
        <w:spacing w:after="120"/>
        <w:jc w:val="both"/>
      </w:pPr>
      <w:r>
        <w:rPr>
          <w:b/>
        </w:rPr>
        <w:t xml:space="preserve">Domain 3 — Bias due to missing outcome data — </w:t>
      </w:r>
      <w:r>
        <w:rPr>
          <w:b/>
          <w:color w:val="375623"/>
        </w:rPr>
        <w:t xml:space="preserve">Low risk of bias. </w:t>
      </w:r>
      <w:r>
        <w:t>All 68 randomized patients were included in the ITT analysis, and GI bleeding outcome data were available for the complete study population (3.1 Y). There is no concern regarding missing outcome data for this analysis.</w:t>
      </w:r>
    </w:p>
    <w:p w14:paraId="230128DC" w14:textId="133E65C2" w:rsidR="001D76DF" w:rsidRDefault="001D76DF" w:rsidP="001D76DF">
      <w:pPr>
        <w:spacing w:after="120"/>
        <w:jc w:val="both"/>
      </w:pPr>
      <w:r>
        <w:rPr>
          <w:b/>
        </w:rPr>
        <w:t xml:space="preserve">Domain 4 — Bias in measurement of the outcome — </w:t>
      </w:r>
      <w:r>
        <w:rPr>
          <w:b/>
          <w:color w:val="375623"/>
        </w:rPr>
        <w:t xml:space="preserve">Low risk of bias. </w:t>
      </w:r>
      <w:r>
        <w:t>Clinically significant upper GI bleeding was defined using a rigorous, pre-specified composite definition adapted from validated adult RCT criteria, requiring evidence of new-onset bleeding accompanied by hemodynamic or hematological consequences (4.1 N). There was no indication of differential measurement methods between groups (4.2 N). Outcome assessors were explicitly stated to be blinded to treatment allocation throughout the study (4.3 N). This domain is rated as low risk of bias.</w:t>
      </w:r>
    </w:p>
    <w:p w14:paraId="7E893A70" w14:textId="77777777" w:rsidR="001D76DF" w:rsidRDefault="001D76DF" w:rsidP="001D76DF">
      <w:pPr>
        <w:spacing w:after="120"/>
        <w:jc w:val="both"/>
      </w:pPr>
      <w:r>
        <w:rPr>
          <w:b/>
        </w:rPr>
        <w:t xml:space="preserve">Domain 5 — Bias in selection of the reported result — </w:t>
      </w:r>
      <w:r>
        <w:rPr>
          <w:b/>
          <w:color w:val="BF8F00"/>
        </w:rPr>
        <w:t xml:space="preserve">Some concerns. </w:t>
      </w:r>
      <w:r>
        <w:t>The trial was prospectively registered at ClinicalTrials.gov (NCT03667703); however, the consistency between the registered protocol and the full set of reported outcomes and analyses was not formally verified (5.1 NI). GI bleeding was assessed using a single pre-specified composite definition without evidence of multiple alternative measurement approaches (5.2 N). Multiple secondary outcomes and both ITT and as-treated analyses were pre-specified; the possibility of selective emphasis on certain analyses cannot be entirely excluded (5.3 PN).</w:t>
      </w:r>
    </w:p>
    <w:p w14:paraId="7193D591" w14:textId="17832266" w:rsidR="001D76DF" w:rsidRDefault="001D76DF" w:rsidP="001D76DF">
      <w:pPr>
        <w:spacing w:after="280"/>
        <w:jc w:val="both"/>
      </w:pPr>
      <w:r>
        <w:rPr>
          <w:b/>
        </w:rPr>
        <w:t xml:space="preserve">Overall risk of bias — </w:t>
      </w:r>
      <w:r>
        <w:rPr>
          <w:b/>
          <w:color w:val="BF8F00"/>
        </w:rPr>
        <w:t xml:space="preserve">Some concerns. </w:t>
      </w:r>
      <w:r>
        <w:t xml:space="preserve">The overall judgment for the </w:t>
      </w:r>
      <w:r>
        <w:rPr>
          <w:rFonts w:hint="eastAsia"/>
          <w:lang w:eastAsia="ja-JP"/>
        </w:rPr>
        <w:t>CS</w:t>
      </w:r>
      <w:r>
        <w:t>GI</w:t>
      </w:r>
      <w:r>
        <w:rPr>
          <w:rFonts w:hint="eastAsia"/>
          <w:lang w:eastAsia="ja-JP"/>
        </w:rPr>
        <w:t>B</w:t>
      </w:r>
      <w:r>
        <w:t xml:space="preserve"> outcome under ITT analysis is some concerns. Domains 1 through 4 were all rated as low risk of bias, supported by the robust double-blind design, pharmacy-based allocation concealment, ITT analysis, and blinded outcome assessment with a validated, quantitative outcome definition. The some concerns rating reflects the inability to fully verify consistency with the registered protocol (Domain 5).</w:t>
      </w:r>
    </w:p>
    <w:p w14:paraId="1D992E1E" w14:textId="77777777" w:rsidR="001D76DF" w:rsidRPr="001D76DF" w:rsidRDefault="001D76DF">
      <w:pPr>
        <w:spacing w:after="120"/>
        <w:rPr>
          <w:lang w:eastAsia="ja-JP"/>
        </w:rPr>
      </w:pPr>
    </w:p>
    <w:p w14:paraId="28E0C56F" w14:textId="77777777" w:rsidR="00106783" w:rsidRPr="00106783" w:rsidRDefault="00106783">
      <w:pPr>
        <w:spacing w:after="120"/>
        <w:rPr>
          <w:lang w:eastAsia="ja-JP"/>
        </w:rPr>
      </w:pPr>
    </w:p>
    <w:p w14:paraId="7912216D" w14:textId="1CC70853" w:rsidR="00C1234B" w:rsidRDefault="00794277" w:rsidP="00C1234B">
      <w:pPr>
        <w:spacing w:after="40"/>
        <w:rPr>
          <w:lang w:eastAsia="ja-JP"/>
        </w:rPr>
      </w:pPr>
      <w:r>
        <w:rPr>
          <w:b/>
          <w:i/>
        </w:rPr>
        <w:t>3.  All-Cause Mortality</w:t>
      </w:r>
    </w:p>
    <w:p w14:paraId="1A970D6E" w14:textId="0B081A1D" w:rsidR="00C1234B" w:rsidRDefault="00C1234B" w:rsidP="00C1234B">
      <w:pPr>
        <w:pStyle w:val="21"/>
      </w:pPr>
      <w:r>
        <w:rPr>
          <w:color w:val="1F497D"/>
          <w:sz w:val="24"/>
        </w:rPr>
        <w:t>Abu El-Ella et al. 2022</w:t>
      </w:r>
    </w:p>
    <w:p w14:paraId="2FEAEE0F" w14:textId="77777777" w:rsidR="00C1234B" w:rsidRDefault="00C1234B" w:rsidP="00C1234B">
      <w:pPr>
        <w:spacing w:after="120"/>
        <w:jc w:val="both"/>
      </w:pPr>
      <w:r>
        <w:rPr>
          <w:sz w:val="20"/>
        </w:rPr>
        <w:t xml:space="preserve">Abu El-Ella SS, El-Mekkawy MS, Mohamed Selim A. Stress ulcer prophylaxis for critically ill children: routine use needs to be re-examined. </w:t>
      </w:r>
      <w:r>
        <w:rPr>
          <w:i/>
          <w:sz w:val="20"/>
        </w:rPr>
        <w:t xml:space="preserve">Anales de Pediatría. </w:t>
      </w:r>
      <w:r>
        <w:rPr>
          <w:sz w:val="20"/>
        </w:rPr>
        <w:t>2022;96:402-409. PMID: 35701033.</w:t>
      </w:r>
    </w:p>
    <w:p w14:paraId="62BB78A8" w14:textId="77777777" w:rsidR="00C1234B" w:rsidRDefault="00C1234B" w:rsidP="00C1234B">
      <w:pPr>
        <w:spacing w:after="120"/>
        <w:jc w:val="both"/>
      </w:pPr>
      <w:r>
        <w:rPr>
          <w:b/>
        </w:rPr>
        <w:t xml:space="preserve">Domain 1 — Bias arising from the randomization process — </w:t>
      </w:r>
      <w:r>
        <w:rPr>
          <w:b/>
          <w:color w:val="C00000"/>
        </w:rPr>
        <w:t xml:space="preserve">High risk of bias. </w:t>
      </w:r>
      <w:r>
        <w:t xml:space="preserve">The study used block randomization generated via an online tool to achieve balanced allocation between the two </w:t>
      </w:r>
      <w:r>
        <w:lastRenderedPageBreak/>
        <w:t>groups, which constitutes an appropriate method of sequence generation (1.1 Y). However, the trial was conducted as an open-label study, and no method of allocation concealment was described (1.2 N). With no concealment in place, those responsible for enrolling patients could have been aware of the upcoming allocation, potentially allowing selective enrollment. No clinically significant baseline imbalances were apparent between the two groups (1.3 PN), but the absence of allocation concealment alone is sufficient to warrant a judgment of high risk for this domain.</w:t>
      </w:r>
    </w:p>
    <w:p w14:paraId="4D10C29C" w14:textId="18A68B7B" w:rsidR="00C1234B" w:rsidRDefault="00C1234B" w:rsidP="00C1234B">
      <w:pPr>
        <w:spacing w:after="120"/>
        <w:jc w:val="both"/>
      </w:pPr>
      <w:r>
        <w:rPr>
          <w:b/>
        </w:rPr>
        <w:t xml:space="preserve">Domain 2 — Bias due to deviations from intended interventions — </w:t>
      </w:r>
      <w:r>
        <w:rPr>
          <w:b/>
          <w:color w:val="BF8F00"/>
        </w:rPr>
        <w:t xml:space="preserve">Some concerns. </w:t>
      </w:r>
      <w:r>
        <w:t>The trial was explicitly conducted as an open-label study, in which participants were not blinded to treatment allocation, as stated in the methods.</w:t>
      </w:r>
      <w:r>
        <w:rPr>
          <w:rFonts w:hint="eastAsia"/>
          <w:lang w:eastAsia="ja-JP"/>
        </w:rPr>
        <w:t xml:space="preserve"> </w:t>
      </w:r>
      <w:r>
        <w:t>Both participants and caregivers were therefore aware of group assignment (2.1 Y, 2.2 Y). Despite this, the authors reported that no protocol deviations occurred in either group during the study period (2.3 N). For Part 2 of Domain 2, the methods section does not explicitly state whether an intention-to-treat analysis was performed (2.6 NI). In the absence of confirmation that an appropriate ITT analysis was conducted, this domain cannot be rated as low risk, yielding an overall judgment of some concerns.</w:t>
      </w:r>
    </w:p>
    <w:p w14:paraId="1706C4FF" w14:textId="77777777" w:rsidR="00C1234B" w:rsidRDefault="00C1234B" w:rsidP="00C1234B">
      <w:pPr>
        <w:spacing w:after="120"/>
        <w:jc w:val="both"/>
      </w:pPr>
      <w:r>
        <w:rPr>
          <w:b/>
        </w:rPr>
        <w:t xml:space="preserve">Domain 3 — Bias due to missing outcome data — </w:t>
      </w:r>
      <w:r>
        <w:rPr>
          <w:b/>
          <w:color w:val="375623"/>
        </w:rPr>
        <w:t xml:space="preserve">Low risk of bias. </w:t>
      </w:r>
      <w:r>
        <w:t>All 144 randomized patients were included in the analysis with no post-randomization exclusions (3.1 Y). Mortality data were available for the complete study population. There is no concern regarding missing outcome data for the mortality outcome.</w:t>
      </w:r>
    </w:p>
    <w:p w14:paraId="79C03ACF" w14:textId="77777777" w:rsidR="00C1234B" w:rsidRDefault="00C1234B" w:rsidP="00C1234B">
      <w:pPr>
        <w:spacing w:after="120"/>
        <w:jc w:val="both"/>
      </w:pPr>
      <w:r>
        <w:rPr>
          <w:b/>
        </w:rPr>
        <w:t xml:space="preserve">Domain 4 — Bias in measurement of the outcome — </w:t>
      </w:r>
      <w:r>
        <w:rPr>
          <w:b/>
          <w:color w:val="375623"/>
        </w:rPr>
        <w:t xml:space="preserve">Low risk of bias. </w:t>
      </w:r>
      <w:r>
        <w:t>All-cause PICU mortality is an objective, binary endpoint that requires no subjective clinical judgment (4.1 N). Ascertainment methods were consistent across groups (4.2 N). Although the trial was open-label and assessors were aware of group assignment (4.3 Y), death is an unambiguous event that cannot be misclassified regardless of the assessor's knowledge of treatment allocation (4.4 N). This domain is therefore rated as low risk of bias.</w:t>
      </w:r>
    </w:p>
    <w:p w14:paraId="5E9CFEAC" w14:textId="77777777" w:rsidR="00C1234B" w:rsidRDefault="00C1234B" w:rsidP="00C1234B">
      <w:pPr>
        <w:spacing w:after="120"/>
        <w:jc w:val="both"/>
      </w:pPr>
      <w:r>
        <w:rPr>
          <w:b/>
        </w:rPr>
        <w:t xml:space="preserve">Domain 5 — Bias in selection of the reported result — </w:t>
      </w:r>
      <w:r>
        <w:rPr>
          <w:b/>
          <w:color w:val="BF8F00"/>
        </w:rPr>
        <w:t xml:space="preserve">Some concerns. </w:t>
      </w:r>
      <w:r>
        <w:t>No trial registration or pre-specified analysis plan was identified (5.1 NI). Mortality was reported at a single time point (PICU mortality) with no indication of multiple measurement windows or alternative analytical approaches (5.2 N, 5.3 N). While selective reporting cannot be excluded, there is no positive evidence of such bias for this outcome.</w:t>
      </w:r>
    </w:p>
    <w:p w14:paraId="47E306D8" w14:textId="77777777" w:rsidR="00C1234B" w:rsidRDefault="00C1234B" w:rsidP="00C1234B">
      <w:pPr>
        <w:spacing w:after="280"/>
        <w:jc w:val="both"/>
      </w:pPr>
      <w:r>
        <w:rPr>
          <w:b/>
        </w:rPr>
        <w:t xml:space="preserve">Overall risk of bias — </w:t>
      </w:r>
      <w:r>
        <w:rPr>
          <w:b/>
          <w:color w:val="C00000"/>
        </w:rPr>
        <w:t xml:space="preserve">High risk of bias. </w:t>
      </w:r>
      <w:r>
        <w:t>The overall judgment for the mortality outcome is high risk, driven by Domain 1 (absence of allocation concealment). Domain 2 was rated as some concerns due to the lack of explicit confirmation of an ITT analysis. Domain 4 was rated as low risk, as mortality is an objective endpoint not susceptible to evaluator bias in spite of the unblinded design. Domain 5 was rated as some concerns in the absence of a registered protocol.</w:t>
      </w:r>
    </w:p>
    <w:p w14:paraId="6133D6DF" w14:textId="77777777" w:rsidR="00C1234B" w:rsidRDefault="00C1234B">
      <w:pPr>
        <w:spacing w:after="120"/>
        <w:rPr>
          <w:lang w:eastAsia="ja-JP"/>
        </w:rPr>
      </w:pPr>
    </w:p>
    <w:p w14:paraId="2295EE63" w14:textId="77777777" w:rsidR="00C1234B" w:rsidRDefault="00C1234B" w:rsidP="00C1234B">
      <w:pPr>
        <w:pStyle w:val="21"/>
      </w:pPr>
      <w:r>
        <w:rPr>
          <w:color w:val="1F497D"/>
          <w:sz w:val="24"/>
        </w:rPr>
        <w:t>Kavilapurapu et al. 2025</w:t>
      </w:r>
    </w:p>
    <w:p w14:paraId="6CE719E3" w14:textId="2E4DD259" w:rsidR="00C1234B" w:rsidRDefault="00C1234B" w:rsidP="00C1234B">
      <w:pPr>
        <w:spacing w:after="120"/>
        <w:jc w:val="both"/>
      </w:pPr>
      <w:r>
        <w:rPr>
          <w:sz w:val="20"/>
        </w:rPr>
        <w:t xml:space="preserve">Kavilapurapu A, Lalitha AV, Ghosh S. Role of proton pump inhibitor as stress ulcer prophylaxis in sick children: a randomized controlled trial. </w:t>
      </w:r>
      <w:r>
        <w:rPr>
          <w:i/>
          <w:sz w:val="20"/>
        </w:rPr>
        <w:t xml:space="preserve">Indian Pediatrics. </w:t>
      </w:r>
      <w:r>
        <w:rPr>
          <w:sz w:val="20"/>
        </w:rPr>
        <w:t>2025;62:407-413. PMID: 40214942. Trial registration: CTRI/2021/08/035785.</w:t>
      </w:r>
    </w:p>
    <w:p w14:paraId="78D91611" w14:textId="77777777" w:rsidR="00C1234B" w:rsidRDefault="00C1234B" w:rsidP="00C1234B">
      <w:pPr>
        <w:spacing w:after="120"/>
        <w:jc w:val="both"/>
      </w:pPr>
      <w:r>
        <w:rPr>
          <w:b/>
        </w:rPr>
        <w:t xml:space="preserve">Domain 1 — Bias arising from the randomization process — </w:t>
      </w:r>
      <w:r>
        <w:rPr>
          <w:b/>
          <w:color w:val="375623"/>
        </w:rPr>
        <w:t xml:space="preserve">Low risk of bias. </w:t>
      </w:r>
      <w:r>
        <w:t xml:space="preserve">The allocation sequence was generated using a computer-generated randomization sequence with block randomization of sizes 2 to 4, which constitutes an appropriate method of sequence generation (1.1 Y). Allocation concealment was achieved through the use of identical, opaque, sealed envelopes with serial numbers prepared by the principal investigator (1.2 Y). However, because block sizes were </w:t>
      </w:r>
      <w:r>
        <w:lastRenderedPageBreak/>
        <w:t>small (2 to 4), there is a theoretical possibility that the allocation of subsequent participants could be partially predicted once earlier assignments within a block become known (1.3 PN). No clinically meaningful baseline differences were observed across groups, but this limitation of small block sizes prevents a rating of low risk.</w:t>
      </w:r>
    </w:p>
    <w:p w14:paraId="3B308D13" w14:textId="77777777" w:rsidR="00C1234B" w:rsidRDefault="00C1234B" w:rsidP="00C1234B">
      <w:pPr>
        <w:spacing w:after="120"/>
        <w:jc w:val="both"/>
      </w:pPr>
      <w:r>
        <w:rPr>
          <w:b/>
        </w:rPr>
        <w:t xml:space="preserve">Domain 2 — Bias due to deviations from intended interventions — </w:t>
      </w:r>
      <w:r>
        <w:rPr>
          <w:b/>
          <w:color w:val="375623"/>
        </w:rPr>
        <w:t xml:space="preserve">Low risk of bias. </w:t>
      </w:r>
      <w:r>
        <w:t>This trial was designed and executed as a double-blind, placebo-controlled study. Pantoprazole was reconstituted with normal saline and was colourless and visually indistinguishable from the placebo; participants were therefore unaware of their group assignment (2.1 N). The treating physician and outcome assessors were explicitly stated to be blinded to group allocations (2.2 N). The primary analysis was conducted in the intention-to-treat population, with all 301 randomized participants included in the analysis (2.6 Y). This domain is rated as low risk of bias.</w:t>
      </w:r>
    </w:p>
    <w:p w14:paraId="50A0F854" w14:textId="77777777" w:rsidR="00C1234B" w:rsidRDefault="00C1234B" w:rsidP="00C1234B">
      <w:pPr>
        <w:spacing w:after="120"/>
        <w:jc w:val="both"/>
      </w:pPr>
      <w:r>
        <w:rPr>
          <w:b/>
        </w:rPr>
        <w:t xml:space="preserve">Domain 3 — Bias due to missing outcome data — </w:t>
      </w:r>
      <w:r>
        <w:rPr>
          <w:b/>
          <w:color w:val="375623"/>
        </w:rPr>
        <w:t xml:space="preserve">Low risk of bias. </w:t>
      </w:r>
      <w:r>
        <w:t>All 301 randomized participants were included in the analysis with no post-randomization exclusions (3.1 Y). All-cause ICU mortality was ascertained for the entire study cohort without missing data. There is no concern regarding missing outcome data for this outcome.</w:t>
      </w:r>
    </w:p>
    <w:p w14:paraId="4A6393F8" w14:textId="77777777" w:rsidR="00C1234B" w:rsidRDefault="00C1234B" w:rsidP="00C1234B">
      <w:pPr>
        <w:spacing w:after="120"/>
        <w:jc w:val="both"/>
      </w:pPr>
      <w:r>
        <w:rPr>
          <w:b/>
        </w:rPr>
        <w:t xml:space="preserve">Domain 4 — Bias in measurement of the outcome — </w:t>
      </w:r>
      <w:r>
        <w:rPr>
          <w:b/>
          <w:color w:val="375623"/>
        </w:rPr>
        <w:t xml:space="preserve">Low risk of bias. </w:t>
      </w:r>
      <w:r>
        <w:t>All-cause in-hospital mortality is an objective, binary endpoint that requires no subjective judgment (4.1 N). The ascertainment method was consistent across groups (4.2 N), and outcome assessors were blinded to group allocation (4.3 N). The objective nature of mortality as an endpoint means that even if assessor blinding were imperfect, misclassification would be essentially impossible. This domain is rated as low risk of bias.</w:t>
      </w:r>
    </w:p>
    <w:p w14:paraId="693068AF" w14:textId="77777777" w:rsidR="00C1234B" w:rsidRDefault="00C1234B" w:rsidP="00C1234B">
      <w:pPr>
        <w:spacing w:after="120"/>
        <w:jc w:val="both"/>
      </w:pPr>
      <w:r>
        <w:rPr>
          <w:b/>
        </w:rPr>
        <w:t xml:space="preserve">Domain 5 — Bias in selection of the reported result — </w:t>
      </w:r>
      <w:r>
        <w:rPr>
          <w:b/>
          <w:color w:val="BF8F00"/>
        </w:rPr>
        <w:t xml:space="preserve">Some concerns. </w:t>
      </w:r>
      <w:r>
        <w:t>Mortality was a pre-specified secondary outcome. There was no evidence of multiple measurement time points (5.2 N) or multiple analytical approaches for this endpoint (5.3 N). However, the consistency between the registered CTRI protocol and the reported analysis could not be fully verified (5.1 NI).</w:t>
      </w:r>
    </w:p>
    <w:p w14:paraId="012CE861" w14:textId="77777777" w:rsidR="00C1234B" w:rsidRDefault="00C1234B" w:rsidP="00C1234B">
      <w:pPr>
        <w:spacing w:after="280"/>
        <w:jc w:val="both"/>
      </w:pPr>
      <w:r>
        <w:rPr>
          <w:b/>
        </w:rPr>
        <w:t xml:space="preserve">Overall risk of bias — </w:t>
      </w:r>
      <w:r>
        <w:rPr>
          <w:b/>
          <w:color w:val="BF8F00"/>
        </w:rPr>
        <w:t xml:space="preserve">Some concerns. </w:t>
      </w:r>
      <w:r>
        <w:t>The overall judgment for the mortality outcome is some concerns. Domains 1 through 4 are all rated as low risk of bias, supported by the rigorous double-blind design, ITT analysis, adequate allocation concealment, and the inherently objective nature of the mortality endpoint. The some concerns rating is attributable solely to Domain 5.</w:t>
      </w:r>
    </w:p>
    <w:p w14:paraId="00C096D7" w14:textId="77777777" w:rsidR="00C1234B" w:rsidRDefault="00C1234B">
      <w:pPr>
        <w:spacing w:after="120"/>
        <w:rPr>
          <w:lang w:eastAsia="ja-JP"/>
        </w:rPr>
      </w:pPr>
    </w:p>
    <w:p w14:paraId="5FA90FA6" w14:textId="77777777" w:rsidR="00C81973" w:rsidRDefault="00C81973" w:rsidP="00C81973">
      <w:pPr>
        <w:pStyle w:val="21"/>
      </w:pPr>
      <w:r>
        <w:rPr>
          <w:color w:val="1F497D"/>
          <w:sz w:val="24"/>
        </w:rPr>
        <w:t>Mills et al. 2024 (SUPPRESS-CHD)</w:t>
      </w:r>
    </w:p>
    <w:p w14:paraId="7C568E34" w14:textId="77777777" w:rsidR="00566045" w:rsidRDefault="00C81973" w:rsidP="00C81973">
      <w:pPr>
        <w:spacing w:after="120"/>
        <w:jc w:val="both"/>
        <w:rPr>
          <w:lang w:eastAsia="ja-JP"/>
        </w:rPr>
      </w:pPr>
      <w:r>
        <w:rPr>
          <w:sz w:val="20"/>
        </w:rPr>
        <w:t xml:space="preserve">Mills KI, Albert BD, Bechard LJ, et al. Stress ulcer prophylaxis versus placebo — a blinded pilot randomized controlled trial to evaluate the safety of two strategies in critically ill infants with congenital heart disease (SUPPRESS-CHD). </w:t>
      </w:r>
      <w:r>
        <w:rPr>
          <w:i/>
          <w:sz w:val="20"/>
        </w:rPr>
        <w:t xml:space="preserve">Pediatr Crit Care Med. </w:t>
      </w:r>
      <w:r>
        <w:rPr>
          <w:sz w:val="20"/>
        </w:rPr>
        <w:t>2024;25(2):118-127. PMID: 38240536. Trial registration: NCT03667703.</w:t>
      </w:r>
    </w:p>
    <w:p w14:paraId="3167A883" w14:textId="36447C05" w:rsidR="00C81973" w:rsidRDefault="00C81973" w:rsidP="00C81973">
      <w:pPr>
        <w:spacing w:after="120"/>
        <w:jc w:val="both"/>
      </w:pPr>
      <w:r>
        <w:rPr>
          <w:b/>
        </w:rPr>
        <w:t xml:space="preserve">Domain 1 — Bias arising from the randomization process — </w:t>
      </w:r>
      <w:r>
        <w:rPr>
          <w:b/>
          <w:color w:val="375623"/>
        </w:rPr>
        <w:t xml:space="preserve">Low risk of bias. </w:t>
      </w:r>
      <w:r>
        <w:t>Randomization assignments were generated using SciRan® software with permuted blocks of sizes 2 and 4, stratified by admission type and age, constituting an appropriate method of sequence generation (1.1 Y). The randomization key code was housed in the investigational drug services pharmacy and concealed from all study investigators (1.2 Y), ensuring robust allocation concealment. Stratified block randomization effectively prevented systematic baseline imbalances; the two groups were well-matched across demographic and clinical characteristics, although a small difference in weight-for-length z-score was noted (1.3 N). This domain is rated as low risk of bias.</w:t>
      </w:r>
    </w:p>
    <w:p w14:paraId="70B88440" w14:textId="77777777" w:rsidR="00C81973" w:rsidRDefault="00C81973" w:rsidP="00C81973">
      <w:pPr>
        <w:spacing w:after="120"/>
        <w:jc w:val="both"/>
      </w:pPr>
      <w:r>
        <w:rPr>
          <w:b/>
        </w:rPr>
        <w:lastRenderedPageBreak/>
        <w:t xml:space="preserve">Domain 2 — Bias due to deviations from intended interventions — </w:t>
      </w:r>
      <w:r>
        <w:rPr>
          <w:b/>
          <w:color w:val="375623"/>
        </w:rPr>
        <w:t xml:space="preserve">Low risk of bias. </w:t>
      </w:r>
      <w:r>
        <w:t>This was a prospective, double-blinded, placebo-controlled trial. Participants, bedside clinicians, and outcome assessors were all explicitly stated to be blinded to trial allocation throughout the study period (2.1 N, 2.2 N). Both intravenous and enteral formulations of the study drug were prepared to be visually indistinguishable from placebo. No protocol deviations that would compromise blinding were reported for the intention-to-treat population. The primary analysis was conducted according to the intention-to-treat principle, including all 68 randomized patients (2.6 Y). This domain is rated as low risk of bias for the ITT analysis.</w:t>
      </w:r>
    </w:p>
    <w:p w14:paraId="71B68335" w14:textId="77777777" w:rsidR="00C81973" w:rsidRDefault="00C81973" w:rsidP="00C81973">
      <w:pPr>
        <w:spacing w:after="120"/>
        <w:jc w:val="both"/>
      </w:pPr>
      <w:r>
        <w:rPr>
          <w:b/>
        </w:rPr>
        <w:t xml:space="preserve">Domain 3 — Bias due to missing outcome data — </w:t>
      </w:r>
      <w:r>
        <w:rPr>
          <w:b/>
          <w:color w:val="375623"/>
        </w:rPr>
        <w:t xml:space="preserve">Low risk of bias. </w:t>
      </w:r>
      <w:r>
        <w:t>All 68 randomized patients were included in the ITT analysis, and mortality outcome data were available for the complete study population (3.1 Y). There is no concern regarding missing outcome data for this outcome.</w:t>
      </w:r>
    </w:p>
    <w:p w14:paraId="01D4811E" w14:textId="77777777" w:rsidR="00C81973" w:rsidRDefault="00C81973" w:rsidP="00C81973">
      <w:pPr>
        <w:spacing w:after="120"/>
        <w:jc w:val="both"/>
      </w:pPr>
      <w:r>
        <w:rPr>
          <w:b/>
        </w:rPr>
        <w:t xml:space="preserve">Domain 4 — Bias in measurement of the outcome — </w:t>
      </w:r>
      <w:r>
        <w:rPr>
          <w:b/>
          <w:color w:val="375623"/>
        </w:rPr>
        <w:t xml:space="preserve">Low risk of bias. </w:t>
      </w:r>
      <w:r>
        <w:t>All-cause mortality is an objective, binary endpoint that requires no subjective clinical judgment (4.1 N). Ascertainment methods were consistent across both groups (4.2 N). Outcome assessors were blinded to treatment allocation throughout the study (4.3 N). The combination of an objective outcome definition and blinded assessment supports a judgment of low risk of bias for this domain.</w:t>
      </w:r>
    </w:p>
    <w:p w14:paraId="506A0EED" w14:textId="77777777" w:rsidR="00C81973" w:rsidRDefault="00C81973" w:rsidP="00C81973">
      <w:pPr>
        <w:spacing w:after="120"/>
        <w:jc w:val="both"/>
      </w:pPr>
      <w:r>
        <w:rPr>
          <w:b/>
        </w:rPr>
        <w:t xml:space="preserve">Domain 5 — Bias in selection of the reported result — </w:t>
      </w:r>
      <w:r>
        <w:rPr>
          <w:b/>
          <w:color w:val="BF8F00"/>
        </w:rPr>
        <w:t xml:space="preserve">Some concerns. </w:t>
      </w:r>
      <w:r>
        <w:t>The trial was prospectively registered at ClinicalTrials.gov (NCT03667703); however, the consistency between the registered protocol and the full set of reported outcomes and analyses was not formally verified (5.1 NI). Mortality was assessed at a single time point without evidence of multiple measurement windows or alternative analytical approaches (5.2 N). Multiple secondary outcomes and both ITT and as-treated analyses were pre-specified; the possibility of selective emphasis on certain analyses cannot be entirely excluded (5.3 PN).</w:t>
      </w:r>
    </w:p>
    <w:p w14:paraId="10B5A056" w14:textId="7A59A13B" w:rsidR="00C81973" w:rsidRPr="00C81973" w:rsidRDefault="00C81973" w:rsidP="00C81973">
      <w:pPr>
        <w:spacing w:after="280"/>
        <w:jc w:val="both"/>
        <w:rPr>
          <w:lang w:eastAsia="ja-JP"/>
        </w:rPr>
      </w:pPr>
      <w:r>
        <w:rPr>
          <w:b/>
        </w:rPr>
        <w:t xml:space="preserve">Overall risk of bias — </w:t>
      </w:r>
      <w:r>
        <w:rPr>
          <w:b/>
          <w:color w:val="BF8F00"/>
        </w:rPr>
        <w:t xml:space="preserve">Some concerns. </w:t>
      </w:r>
      <w:r>
        <w:t>The overall judgment for the mortality outcome under ITT analysis is some concerns. Domains 1 through 4 were all rated as low risk of bias, supported by the robust double-blind design, pharmacy-based allocation concealment, ITT analysis including all 68 randomized patients, and the inherently objective nature of the mortality endpoint. The some concerns rating reflects the inability to fully verify consistency with the registered protocol (Domain 5).</w:t>
      </w:r>
    </w:p>
    <w:p w14:paraId="5816041F" w14:textId="77777777" w:rsidR="00C81973" w:rsidRDefault="00C81973">
      <w:pPr>
        <w:spacing w:after="120"/>
        <w:rPr>
          <w:lang w:eastAsia="ja-JP"/>
        </w:rPr>
      </w:pPr>
    </w:p>
    <w:p w14:paraId="38D54289" w14:textId="77777777" w:rsidR="00DA1577" w:rsidRDefault="00DA1577" w:rsidP="00DA1577">
      <w:pPr>
        <w:pStyle w:val="21"/>
      </w:pPr>
      <w:r>
        <w:rPr>
          <w:color w:val="1F497D"/>
          <w:sz w:val="24"/>
        </w:rPr>
        <w:t>Yildizdas et al. 2002</w:t>
      </w:r>
    </w:p>
    <w:p w14:paraId="686645BA" w14:textId="12298A9B" w:rsidR="00DA1577" w:rsidRDefault="00DA1577" w:rsidP="00DA1577">
      <w:pPr>
        <w:spacing w:after="120"/>
        <w:jc w:val="both"/>
      </w:pPr>
      <w:r>
        <w:rPr>
          <w:sz w:val="20"/>
        </w:rPr>
        <w:t xml:space="preserve">Yildizdas D, Yapicioglu H, Yilmaz HL. Occurrence of ventilator-associated pneumonia in mechanically ventilated pediatric intensive care patients during stress ulcer prophylaxis with sucralfate, ranitidine, and omeprazole. </w:t>
      </w:r>
      <w:r>
        <w:rPr>
          <w:i/>
          <w:sz w:val="20"/>
        </w:rPr>
        <w:t xml:space="preserve">J Crit Care. </w:t>
      </w:r>
      <w:r>
        <w:rPr>
          <w:sz w:val="20"/>
        </w:rPr>
        <w:t>2002;17(4):240-245. PMID: 12501151.</w:t>
      </w:r>
    </w:p>
    <w:p w14:paraId="368DE71C" w14:textId="77777777" w:rsidR="00DA1577" w:rsidRDefault="00DA1577" w:rsidP="00DA1577">
      <w:pPr>
        <w:spacing w:after="120"/>
        <w:jc w:val="both"/>
      </w:pPr>
      <w:r>
        <w:rPr>
          <w:b/>
        </w:rPr>
        <w:t xml:space="preserve">Domain 1 — Bias arising from the randomization process — </w:t>
      </w:r>
      <w:r>
        <w:rPr>
          <w:b/>
          <w:color w:val="C00000"/>
        </w:rPr>
        <w:t xml:space="preserve">High risk of bias. </w:t>
      </w:r>
      <w:r>
        <w:t>The allocation sequence was generated using a computer-generated random number table (1.1 Y). The study did not describe any mechanism of allocation concealment (1.2 PN). No clinically meaningful baseline imbalances were apparent across the four groups (1.3 PN), but the absence of described concealment warrants a judgment of high risk.</w:t>
      </w:r>
    </w:p>
    <w:p w14:paraId="7CE7DE48" w14:textId="77777777" w:rsidR="00DA1577" w:rsidRDefault="00DA1577" w:rsidP="00DA1577">
      <w:pPr>
        <w:spacing w:after="120"/>
        <w:jc w:val="both"/>
      </w:pPr>
      <w:r>
        <w:rPr>
          <w:b/>
        </w:rPr>
        <w:t xml:space="preserve">Domain 2 — Bias due to deviations from intended interventions — </w:t>
      </w:r>
      <w:r>
        <w:rPr>
          <w:b/>
          <w:color w:val="C00000"/>
        </w:rPr>
        <w:t xml:space="preserve">High risk of bias. </w:t>
      </w:r>
      <w:r>
        <w:t>The trial was explicitly conducted in an unblinded manner (2.1 PY, 2.2 Y). No placebo was used, and 40 of the 200 randomized patients (20%) were excluded after randomization. The remaining 160 patients were analyzed without reference to original allocation, violating the intention-to-treat principle (2.6 N, 2.7 PY).</w:t>
      </w:r>
    </w:p>
    <w:p w14:paraId="66476A70" w14:textId="77777777" w:rsidR="00DA1577" w:rsidRDefault="00DA1577" w:rsidP="00DA1577">
      <w:pPr>
        <w:spacing w:after="120"/>
        <w:jc w:val="both"/>
      </w:pPr>
      <w:r>
        <w:rPr>
          <w:b/>
        </w:rPr>
        <w:lastRenderedPageBreak/>
        <w:t xml:space="preserve">Domain 3 — Bias due to missing outcome data — </w:t>
      </w:r>
      <w:r>
        <w:rPr>
          <w:b/>
          <w:color w:val="C00000"/>
        </w:rPr>
        <w:t xml:space="preserve">High risk of bias. </w:t>
      </w:r>
      <w:r>
        <w:t>Outcome data were unavailable for the 40 patients excluded after randomization (3.1 N). For mortality specifically, this is particularly concerning because death within the first 48 hours was itself one of the exclusion criteria: patients who died were excluded from the analysis, meaning the missing outcome data are directly linked to the true outcome value (3.3 Y). Furthermore, patients excluded for pre-existing pneumonia at entry may also carry a higher underlying mortality risk. Given this direct relationship between missingness and the outcome, it is likely that the missing data meaningfully depend on their true values (3.4 PY).</w:t>
      </w:r>
    </w:p>
    <w:p w14:paraId="5CCB354F" w14:textId="77777777" w:rsidR="00DA1577" w:rsidRDefault="00DA1577" w:rsidP="00DA1577">
      <w:pPr>
        <w:spacing w:after="120"/>
        <w:jc w:val="both"/>
      </w:pPr>
      <w:r>
        <w:rPr>
          <w:b/>
        </w:rPr>
        <w:t xml:space="preserve">Domain 4 — Bias in measurement of the outcome — </w:t>
      </w:r>
      <w:r>
        <w:rPr>
          <w:b/>
          <w:color w:val="375623"/>
        </w:rPr>
        <w:t xml:space="preserve">Low risk of bias. </w:t>
      </w:r>
      <w:r>
        <w:t>The ascertainment method for mortality was appropriate (4.1 N), and there was no differential measurement between groups (4.2 N). The study was unblinded and outcome assessors were aware of intervention assignments (4.3 PY); however, all-cause in-hospital mortality is an objective, binary endpoint — death is an unambiguous event that cannot be misclassified regardless of the assessor's knowledge of treatment allocation (4.4 N). This domain is rated as low risk of bias.</w:t>
      </w:r>
    </w:p>
    <w:p w14:paraId="7AC903BE" w14:textId="77777777" w:rsidR="00DA1577" w:rsidRDefault="00DA1577" w:rsidP="00DA1577">
      <w:pPr>
        <w:spacing w:after="120"/>
        <w:jc w:val="both"/>
      </w:pPr>
      <w:r>
        <w:rPr>
          <w:b/>
        </w:rPr>
        <w:t xml:space="preserve">Domain 5 — Bias in selection of the reported result — </w:t>
      </w:r>
      <w:r>
        <w:rPr>
          <w:b/>
          <w:color w:val="BF8F00"/>
        </w:rPr>
        <w:t xml:space="preserve">Some concerns. </w:t>
      </w:r>
      <w:r>
        <w:t>No trial registration or pre-published protocol was identified (5.1 NI). Mortality was reported at a single time point (in-hospital), with no indication of multiple measurement time points or multiple analytical approaches (5.2 N, 5.3 N). While selective reporting cannot be excluded, there is no positive evidence of such bias.</w:t>
      </w:r>
    </w:p>
    <w:p w14:paraId="0CA18D62" w14:textId="77777777" w:rsidR="00DA1577" w:rsidRDefault="00DA1577" w:rsidP="00DA1577">
      <w:pPr>
        <w:spacing w:after="280"/>
        <w:jc w:val="both"/>
      </w:pPr>
      <w:r>
        <w:rPr>
          <w:b/>
        </w:rPr>
        <w:t xml:space="preserve">Overall risk of bias — </w:t>
      </w:r>
      <w:r>
        <w:rPr>
          <w:b/>
          <w:color w:val="C00000"/>
        </w:rPr>
        <w:t xml:space="preserve">High risk of bias. </w:t>
      </w:r>
      <w:r>
        <w:t>The overall judgment for the mortality outcome is high risk, primarily driven by concerns in Domains 1, 2, and 3. The exclusion of patients who died within the first 48 hours after randomization constitutes a direct, systematic removal of outcome events from the analysis, introducing unavoidable bias in the mortality estimate (Domain 3). Domain 4 was rated as low risk of bias, as all-cause mortality is an objective endpoint that cannot be influenced by assessor knowledge of treatment allocation. Domain 5 was rated as some concerns in the absence of a pre-specified protocol.</w:t>
      </w:r>
    </w:p>
    <w:p w14:paraId="7558E9F7" w14:textId="77777777" w:rsidR="00C1234B" w:rsidRPr="00DA1577" w:rsidRDefault="00C1234B">
      <w:pPr>
        <w:spacing w:after="120"/>
        <w:rPr>
          <w:lang w:eastAsia="ja-JP"/>
        </w:rPr>
      </w:pPr>
    </w:p>
    <w:p w14:paraId="548113DB" w14:textId="77777777" w:rsidR="00C1234B" w:rsidRPr="00C1234B" w:rsidRDefault="00C1234B">
      <w:pPr>
        <w:spacing w:after="120"/>
        <w:rPr>
          <w:lang w:eastAsia="ja-JP"/>
        </w:rPr>
      </w:pPr>
    </w:p>
    <w:p w14:paraId="571FD58B" w14:textId="7E2B9D78" w:rsidR="00FF4F00" w:rsidRDefault="00794277" w:rsidP="00037A97">
      <w:pPr>
        <w:spacing w:after="40"/>
      </w:pPr>
      <w:r>
        <w:rPr>
          <w:b/>
          <w:i/>
        </w:rPr>
        <w:t>4.  Ventilator-Associated Pneumonia</w:t>
      </w:r>
    </w:p>
    <w:p w14:paraId="689FF73D" w14:textId="6336C795" w:rsidR="00037A97" w:rsidRDefault="00037A97" w:rsidP="00037A97">
      <w:pPr>
        <w:pStyle w:val="21"/>
      </w:pPr>
      <w:r>
        <w:rPr>
          <w:color w:val="1F497D"/>
          <w:sz w:val="24"/>
        </w:rPr>
        <w:t>Abu El-Ella et al. 2022</w:t>
      </w:r>
    </w:p>
    <w:p w14:paraId="5BDCD59F" w14:textId="6705F547" w:rsidR="00037A97" w:rsidRDefault="00037A97" w:rsidP="00037A97">
      <w:pPr>
        <w:spacing w:after="120"/>
        <w:jc w:val="both"/>
      </w:pPr>
      <w:r>
        <w:rPr>
          <w:sz w:val="20"/>
        </w:rPr>
        <w:t xml:space="preserve">Abu El-Ella SS, El-Mekkawy MS, Mohamed Selim A. Stress ulcer prophylaxis for critically ill children: routine use needs to be re-examined. </w:t>
      </w:r>
      <w:r>
        <w:rPr>
          <w:i/>
          <w:sz w:val="20"/>
        </w:rPr>
        <w:t xml:space="preserve">Anales de Pediatría. </w:t>
      </w:r>
      <w:r>
        <w:rPr>
          <w:sz w:val="20"/>
        </w:rPr>
        <w:t>2022;96:402-409. PMID: 35701033.</w:t>
      </w:r>
    </w:p>
    <w:p w14:paraId="41FC1545" w14:textId="77777777" w:rsidR="00037A97" w:rsidRDefault="00037A97" w:rsidP="00037A97">
      <w:pPr>
        <w:spacing w:after="120"/>
        <w:jc w:val="both"/>
      </w:pPr>
      <w:r>
        <w:rPr>
          <w:b/>
        </w:rPr>
        <w:t xml:space="preserve">Domain 1 — Bias arising from the randomization process — </w:t>
      </w:r>
      <w:r>
        <w:rPr>
          <w:b/>
          <w:color w:val="C00000"/>
        </w:rPr>
        <w:t xml:space="preserve">High risk of bias. </w:t>
      </w:r>
      <w:r>
        <w:t>The study used block randomization generated via an online tool to achieve balanced allocation between the two groups, which constitutes an appropriate method of sequence generation (1.1 Y). However, the trial was conducted as an open-label study, and no method of allocation concealment was described (1.2 N). With no concealment in place, those responsible for enrolling patients could have been aware of the upcoming allocation, potentially allowing selective enrollment. No clinically significant baseline imbalances were apparent between the two groups (1.3 PN), but the absence of allocation concealment alone is sufficient to warrant a judgment of high risk for this domain.</w:t>
      </w:r>
    </w:p>
    <w:p w14:paraId="7EC8D01B" w14:textId="3AE7BBEE" w:rsidR="00037A97" w:rsidRDefault="00037A97" w:rsidP="00037A97">
      <w:pPr>
        <w:spacing w:after="120"/>
        <w:jc w:val="both"/>
      </w:pPr>
      <w:r>
        <w:rPr>
          <w:b/>
        </w:rPr>
        <w:t xml:space="preserve">Domain 2 — Bias due to deviations from intended interventions — </w:t>
      </w:r>
      <w:r>
        <w:rPr>
          <w:b/>
          <w:color w:val="BF8F00"/>
        </w:rPr>
        <w:t xml:space="preserve">Some concerns. </w:t>
      </w:r>
      <w:r>
        <w:t>The trial was explicitly conducted as an open-label study, in which participants were not blinded to treatment allocation, as stated in the methods.</w:t>
      </w:r>
      <w:r>
        <w:rPr>
          <w:rFonts w:hint="eastAsia"/>
          <w:lang w:eastAsia="ja-JP"/>
        </w:rPr>
        <w:t xml:space="preserve"> </w:t>
      </w:r>
      <w:r>
        <w:t xml:space="preserve">Both participants and caregivers were therefore aware of group assignment (2.1 Y, 2.2 Y). Despite this, the authors reported that no protocol deviations occurred in </w:t>
      </w:r>
      <w:r>
        <w:lastRenderedPageBreak/>
        <w:t>either group during the study period (2.3 N). For Part 2 of Domain 2, the methods section does not explicitly state whether an intention-to-treat analysis was performed (2.6 NI). In the absence of confirmation that an appropriate ITT analysis was conducted, this domain cannot be rated as low risk, yielding an overall judgment of some concerns.</w:t>
      </w:r>
    </w:p>
    <w:p w14:paraId="78E4860E" w14:textId="77777777" w:rsidR="00037A97" w:rsidRDefault="00037A97" w:rsidP="00037A97">
      <w:pPr>
        <w:spacing w:after="120"/>
        <w:jc w:val="both"/>
      </w:pPr>
      <w:r>
        <w:rPr>
          <w:b/>
        </w:rPr>
        <w:t xml:space="preserve">Domain 3 — Bias due to missing outcome data — </w:t>
      </w:r>
      <w:r>
        <w:rPr>
          <w:b/>
          <w:color w:val="375623"/>
        </w:rPr>
        <w:t xml:space="preserve">Low risk of bias. </w:t>
      </w:r>
      <w:r>
        <w:t>All 144 randomized participants were included in the analysis with no post-randomization exclusions (3.1 Y). Outcome data for VAP were available for the complete study population. There is no concern regarding missing outcome data for this outcome.</w:t>
      </w:r>
    </w:p>
    <w:p w14:paraId="71F7B6CD" w14:textId="77777777" w:rsidR="00037A97" w:rsidRDefault="00037A97" w:rsidP="00037A97">
      <w:pPr>
        <w:spacing w:after="120"/>
        <w:jc w:val="both"/>
      </w:pPr>
      <w:r>
        <w:rPr>
          <w:b/>
        </w:rPr>
        <w:t xml:space="preserve">Domain 4 — Bias in measurement of the outcome — </w:t>
      </w:r>
      <w:r>
        <w:rPr>
          <w:b/>
          <w:color w:val="C00000"/>
        </w:rPr>
        <w:t xml:space="preserve">High risk of bias. </w:t>
      </w:r>
      <w:r>
        <w:t>VAP was defined according to the criteria established by the Centers for Disease Control and Prevention (CDC), as pneumonia occurring more than 2 calendar days after initiation of invasive mechanical ventilation (4.1 N). There was no evidence that measurement methods differed systematically between groups (4.2 N). However, because the trial was open-label, outcome assessors were aware of each patient's group assignment (4.3 Y). The CDC VAP criteria incorporate subjective elements, including radiographic infiltrates and the characterization of respiratory secretions, which are susceptible to interpretation influenced by prior knowledge of treatment allocation. Prior knowledge of intervention assignment is liable to introduce preconceptions into the overall clinical judgment required to diagnose VAP (4.4 PY, 4.5 PY). This domain is rated as high risk of bias.</w:t>
      </w:r>
    </w:p>
    <w:p w14:paraId="472CD015" w14:textId="77777777" w:rsidR="00037A97" w:rsidRDefault="00037A97" w:rsidP="00037A97">
      <w:pPr>
        <w:spacing w:after="120"/>
        <w:jc w:val="both"/>
      </w:pPr>
      <w:r>
        <w:rPr>
          <w:b/>
        </w:rPr>
        <w:t xml:space="preserve">Domain 5 — Bias in selection of the reported result — </w:t>
      </w:r>
      <w:r>
        <w:rPr>
          <w:b/>
          <w:color w:val="BF8F00"/>
        </w:rPr>
        <w:t xml:space="preserve">Some concerns. </w:t>
      </w:r>
      <w:r>
        <w:t>No trial registration or pre-specified analysis plan was identified (5.1 NI). VAP was assessed using a single standard definition without evidence of multiple alternative outcome measurements (5.2 N). The possibility of selective reporting cannot be entirely excluded in the absence of a registered protocol (5.3 PN).</w:t>
      </w:r>
    </w:p>
    <w:p w14:paraId="1D3787FA" w14:textId="77777777" w:rsidR="00037A97" w:rsidRDefault="00037A97" w:rsidP="00037A97">
      <w:pPr>
        <w:spacing w:after="280"/>
        <w:jc w:val="both"/>
      </w:pPr>
      <w:r>
        <w:rPr>
          <w:b/>
        </w:rPr>
        <w:t xml:space="preserve">Overall risk of bias — </w:t>
      </w:r>
      <w:r>
        <w:rPr>
          <w:b/>
          <w:color w:val="C00000"/>
        </w:rPr>
        <w:t xml:space="preserve">High risk of bias. </w:t>
      </w:r>
      <w:r>
        <w:t>The overall judgment for the VAP outcome is high risk, driven by Domain 1 (no allocation concealment in an open-label design) and Domain 4. For Domain 4, the open-label design combined with the subjective elements inherent in VAP diagnosis creates a meaningful risk that assessor knowledge of treatment assignment influenced outcome classification. Domains 2 and 5 were rated as some concerns.</w:t>
      </w:r>
    </w:p>
    <w:p w14:paraId="73CD63C0" w14:textId="77777777" w:rsidR="00037A97" w:rsidRDefault="00037A97" w:rsidP="00037A97">
      <w:pPr>
        <w:spacing w:after="40"/>
        <w:rPr>
          <w:lang w:eastAsia="ja-JP"/>
        </w:rPr>
      </w:pPr>
    </w:p>
    <w:p w14:paraId="6201DC84" w14:textId="07B01F4D" w:rsidR="000714D3" w:rsidRDefault="000714D3" w:rsidP="000714D3">
      <w:pPr>
        <w:pStyle w:val="21"/>
      </w:pPr>
      <w:r>
        <w:rPr>
          <w:color w:val="1F497D"/>
          <w:sz w:val="24"/>
        </w:rPr>
        <w:t>Kavilapurapu et al. 2025</w:t>
      </w:r>
    </w:p>
    <w:p w14:paraId="7C75A46B" w14:textId="17BE82F4" w:rsidR="000714D3" w:rsidRDefault="000714D3" w:rsidP="000714D3">
      <w:pPr>
        <w:spacing w:after="120"/>
        <w:jc w:val="both"/>
      </w:pPr>
      <w:r>
        <w:rPr>
          <w:sz w:val="20"/>
        </w:rPr>
        <w:t xml:space="preserve">Kavilapurapu A, Lalitha AV, Ghosh S. Role of proton pump inhibitor as stress ulcer prophylaxis in sick children: a randomized controlled trial. </w:t>
      </w:r>
      <w:r>
        <w:rPr>
          <w:i/>
          <w:sz w:val="20"/>
        </w:rPr>
        <w:t xml:space="preserve">Indian Pediatrics. </w:t>
      </w:r>
      <w:r>
        <w:rPr>
          <w:sz w:val="20"/>
        </w:rPr>
        <w:t>2025;62:407-413. PMID: 40214942. Trial registration: CTRI/2021/08/035785.</w:t>
      </w:r>
    </w:p>
    <w:p w14:paraId="48318F5D" w14:textId="77777777" w:rsidR="000714D3" w:rsidRDefault="000714D3" w:rsidP="000714D3">
      <w:pPr>
        <w:spacing w:after="120"/>
        <w:jc w:val="both"/>
      </w:pPr>
      <w:r>
        <w:rPr>
          <w:b/>
        </w:rPr>
        <w:t xml:space="preserve">Domain 1 — Bias arising from the randomization process — </w:t>
      </w:r>
      <w:r>
        <w:rPr>
          <w:b/>
          <w:color w:val="375623"/>
        </w:rPr>
        <w:t xml:space="preserve">Low risk of bias. </w:t>
      </w:r>
      <w:r>
        <w:t>The allocation sequence was generated using a computer-generated randomization sequence with block randomization of sizes 2 to 4, which constitutes an appropriate method of sequence generation (1.1 Y). Allocation concealment was achieved through the use of identical, opaque, sealed envelopes with serial numbers prepared by the principal investigator (1.2 Y). However, because block sizes were small (2 to 4), there is a theoretical possibility that the allocation of subsequent participants could be partially predicted once earlier assignments within a block become known (1.3 PN). No clinically meaningful baseline differences were observed across groups, but this limitation of small block sizes prevents a rating of low risk.</w:t>
      </w:r>
    </w:p>
    <w:p w14:paraId="3055AB3E" w14:textId="77777777" w:rsidR="000714D3" w:rsidRDefault="000714D3" w:rsidP="000714D3">
      <w:pPr>
        <w:spacing w:after="120"/>
        <w:jc w:val="both"/>
      </w:pPr>
      <w:r>
        <w:rPr>
          <w:b/>
        </w:rPr>
        <w:t xml:space="preserve">Domain 2 — Bias due to deviations from intended interventions — </w:t>
      </w:r>
      <w:r>
        <w:rPr>
          <w:b/>
          <w:color w:val="375623"/>
        </w:rPr>
        <w:t xml:space="preserve">Low risk of bias. </w:t>
      </w:r>
      <w:r>
        <w:t xml:space="preserve">This trial was designed and executed as a double-blind, placebo-controlled study. Pantoprazole was reconstituted with normal saline and was colourless and visually indistinguishable from the placebo; </w:t>
      </w:r>
      <w:r>
        <w:lastRenderedPageBreak/>
        <w:t>participants were therefore unaware of their group assignment (2.1 N). The treating physician and outcome assessors were explicitly stated to be blinded to group allocations (2.2 N). The primary analysis was conducted in the intention-to-treat population, with all 301 randomized participants included in the analysis (2.6 Y). This domain is rated as low risk of bias.</w:t>
      </w:r>
    </w:p>
    <w:p w14:paraId="619735CC" w14:textId="77777777" w:rsidR="000714D3" w:rsidRDefault="000714D3" w:rsidP="000714D3">
      <w:pPr>
        <w:spacing w:after="120"/>
        <w:jc w:val="both"/>
      </w:pPr>
      <w:r>
        <w:rPr>
          <w:b/>
        </w:rPr>
        <w:t xml:space="preserve">Domain 3 — Bias due to missing outcome data — </w:t>
      </w:r>
      <w:r>
        <w:rPr>
          <w:b/>
          <w:color w:val="375623"/>
        </w:rPr>
        <w:t xml:space="preserve">Low risk of bias. </w:t>
      </w:r>
      <w:r>
        <w:t>All 301 randomized participants were included in the analysis, and no post-randomization losses to follow-up were reported (3.1 Y). There is no concern regarding missing outcome data for the VAP outcome.</w:t>
      </w:r>
    </w:p>
    <w:p w14:paraId="00F7CFDF" w14:textId="77777777" w:rsidR="000714D3" w:rsidRDefault="000714D3" w:rsidP="000714D3">
      <w:pPr>
        <w:spacing w:after="120"/>
        <w:jc w:val="both"/>
      </w:pPr>
      <w:r>
        <w:rPr>
          <w:b/>
        </w:rPr>
        <w:t xml:space="preserve">Domain 4 — Bias in measurement of the outcome — </w:t>
      </w:r>
      <w:r>
        <w:rPr>
          <w:b/>
          <w:color w:val="375623"/>
        </w:rPr>
        <w:t xml:space="preserve">Low risk of bias. </w:t>
      </w:r>
      <w:r>
        <w:t>Active surveillance for VAP was conducted in all mechanically ventilated children with reference to a published guideline; however, the specific diagnostic criteria applied at this institution were not explicitly described in the methods section (4.1 NI). The absence of detailed diagnostic protocol raises the possibility that measurement methods could have differed between groups in practice (4.2 NI). Nevertheless, outcome assessors were blinded to group allocation (4.3 N). Given that assessors were unaware of the intervention received, the risk of systematic evaluator bias is low, and the domain is rated as low risk of bias overall.</w:t>
      </w:r>
    </w:p>
    <w:p w14:paraId="3DEE3BAF" w14:textId="77777777" w:rsidR="000714D3" w:rsidRDefault="000714D3" w:rsidP="000714D3">
      <w:pPr>
        <w:spacing w:after="120"/>
        <w:jc w:val="both"/>
      </w:pPr>
      <w:r>
        <w:rPr>
          <w:b/>
        </w:rPr>
        <w:t xml:space="preserve">Domain 5 — Bias in selection of the reported result — </w:t>
      </w:r>
      <w:r>
        <w:rPr>
          <w:b/>
          <w:color w:val="BF8F00"/>
        </w:rPr>
        <w:t xml:space="preserve">Some concerns. </w:t>
      </w:r>
      <w:r>
        <w:t>VAP was a pre-specified secondary outcome; however, the specific diagnostic criteria and the number of potential VAP measurement approaches used in surveillance were not described in sufficient detail (5.1 NI, 5.2 NI, 5.3 NI). This domain is rated as some concerns.</w:t>
      </w:r>
    </w:p>
    <w:p w14:paraId="77747FB7" w14:textId="77777777" w:rsidR="000714D3" w:rsidRDefault="000714D3" w:rsidP="000714D3">
      <w:pPr>
        <w:spacing w:after="280"/>
        <w:jc w:val="both"/>
      </w:pPr>
      <w:r>
        <w:rPr>
          <w:b/>
        </w:rPr>
        <w:t xml:space="preserve">Overall risk of bias — </w:t>
      </w:r>
      <w:r>
        <w:rPr>
          <w:b/>
          <w:color w:val="BF8F00"/>
        </w:rPr>
        <w:t xml:space="preserve">Some concerns. </w:t>
      </w:r>
      <w:r>
        <w:t>The overall judgment for the VAP outcome is some concerns. The double-blind design, ITT analysis, and blinded outcome assessment support low risk ratings for Domains 1 to 4. Domain 5 is rated some concerns due to insufficient reporting of the VAP diagnostic protocol and analytical approach.</w:t>
      </w:r>
    </w:p>
    <w:p w14:paraId="512DB83D" w14:textId="77777777" w:rsidR="000714D3" w:rsidRDefault="000714D3" w:rsidP="00037A97">
      <w:pPr>
        <w:spacing w:after="40"/>
        <w:rPr>
          <w:lang w:eastAsia="ja-JP"/>
        </w:rPr>
      </w:pPr>
    </w:p>
    <w:p w14:paraId="310C3C17" w14:textId="0B7810A7" w:rsidR="000714D3" w:rsidRDefault="000714D3" w:rsidP="000714D3">
      <w:pPr>
        <w:pStyle w:val="21"/>
      </w:pPr>
      <w:r>
        <w:rPr>
          <w:color w:val="1F497D"/>
          <w:sz w:val="24"/>
        </w:rPr>
        <w:t>Mills et al. 2024 (SUPPRESS-CHD)</w:t>
      </w:r>
    </w:p>
    <w:p w14:paraId="3D6A1832" w14:textId="2F3FEA32" w:rsidR="000714D3" w:rsidRDefault="000714D3" w:rsidP="000714D3">
      <w:pPr>
        <w:spacing w:after="120"/>
        <w:jc w:val="both"/>
      </w:pPr>
      <w:r>
        <w:rPr>
          <w:sz w:val="20"/>
        </w:rPr>
        <w:t xml:space="preserve">Mills KI, Albert BD, Bechard LJ, et al. Stress ulcer prophylaxis versus placebo — a blinded pilot randomized controlled trial to evaluate the safety of two strategies in critically ill infants with congenital heart disease (SUPPRESS-CHD). </w:t>
      </w:r>
      <w:r>
        <w:rPr>
          <w:i/>
          <w:sz w:val="20"/>
        </w:rPr>
        <w:t xml:space="preserve">Pediatr Crit Care Med. </w:t>
      </w:r>
      <w:r>
        <w:rPr>
          <w:sz w:val="20"/>
        </w:rPr>
        <w:t>2024;25(2):118-127. PMID: 38240536. Trial registration: NCT03667703.</w:t>
      </w:r>
    </w:p>
    <w:p w14:paraId="694C7621" w14:textId="77777777" w:rsidR="000714D3" w:rsidRDefault="000714D3" w:rsidP="000714D3">
      <w:pPr>
        <w:spacing w:after="120"/>
        <w:jc w:val="both"/>
      </w:pPr>
      <w:r>
        <w:rPr>
          <w:b/>
        </w:rPr>
        <w:t xml:space="preserve">Domain 1 — Bias arising from the randomization process — </w:t>
      </w:r>
      <w:r>
        <w:rPr>
          <w:b/>
          <w:color w:val="375623"/>
        </w:rPr>
        <w:t xml:space="preserve">Low risk of bias. </w:t>
      </w:r>
      <w:r>
        <w:t>Randomization assignments were generated using SciRan® software with permuted blocks of sizes 2 and 4, stratified by admission type and age, constituting an appropriate method of sequence generation (1.1 Y). The randomization key code was housed in the investigational drug services pharmacy and concealed from all study investigators (1.2 Y), ensuring robust allocation concealment. Stratified block randomization effectively prevented systematic baseline imbalances; the two groups were well-matched across demographic and clinical characteristics, although a small difference in weight-for-length z-score was noted (1.3 N). This domain is rated as low risk of bias.</w:t>
      </w:r>
    </w:p>
    <w:p w14:paraId="355CC494" w14:textId="77777777" w:rsidR="000714D3" w:rsidRDefault="000714D3" w:rsidP="000714D3">
      <w:pPr>
        <w:spacing w:after="120"/>
        <w:jc w:val="both"/>
      </w:pPr>
      <w:r>
        <w:rPr>
          <w:b/>
        </w:rPr>
        <w:t xml:space="preserve">Domain 2 — Bias due to deviations from intended interventions — </w:t>
      </w:r>
      <w:r>
        <w:rPr>
          <w:b/>
          <w:color w:val="375623"/>
        </w:rPr>
        <w:t xml:space="preserve">Low risk of bias. </w:t>
      </w:r>
      <w:r>
        <w:t xml:space="preserve">This was a prospective, double-blinded, placebo-controlled trial. Participants, bedside clinicians, and outcome assessors were all explicitly stated to be blinded to trial allocation throughout the study period (2.1 N, 2.2 N). Both intravenous and enteral formulations of the study drug were prepared to be visually indistinguishable from placebo. No protocol deviations that would compromise blinding were reported for the intention-to-treat population. The primary analysis was conducted according to the </w:t>
      </w:r>
      <w:r>
        <w:lastRenderedPageBreak/>
        <w:t>intention-to-treat principle, including all 68 randomized patients (2.6 Y). This domain is rated as low risk of bias for the ITT analysis.</w:t>
      </w:r>
    </w:p>
    <w:p w14:paraId="42EE2D85" w14:textId="77777777" w:rsidR="000714D3" w:rsidRDefault="000714D3" w:rsidP="000714D3">
      <w:pPr>
        <w:spacing w:after="120"/>
        <w:jc w:val="both"/>
      </w:pPr>
      <w:r>
        <w:rPr>
          <w:b/>
        </w:rPr>
        <w:t xml:space="preserve">Domain 3 — Bias due to missing outcome data — </w:t>
      </w:r>
      <w:r>
        <w:rPr>
          <w:b/>
          <w:color w:val="375623"/>
        </w:rPr>
        <w:t xml:space="preserve">Low risk of bias. </w:t>
      </w:r>
      <w:r>
        <w:t>All 68 randomized patients were included in the ITT analysis, and VAP outcome data were available for the complete study population (3.1 Y). There is no concern regarding missing outcome data.</w:t>
      </w:r>
    </w:p>
    <w:p w14:paraId="4655134B" w14:textId="77777777" w:rsidR="000714D3" w:rsidRDefault="000714D3" w:rsidP="000714D3">
      <w:pPr>
        <w:spacing w:after="120"/>
        <w:jc w:val="both"/>
      </w:pPr>
      <w:r>
        <w:rPr>
          <w:b/>
        </w:rPr>
        <w:t xml:space="preserve">Domain 4 — Bias in measurement of the outcome — </w:t>
      </w:r>
      <w:r>
        <w:rPr>
          <w:b/>
          <w:color w:val="375623"/>
        </w:rPr>
        <w:t xml:space="preserve">Low risk of bias. </w:t>
      </w:r>
      <w:r>
        <w:t>The specific diagnostic criteria used to define VAP in this study were not explicitly described in the methods section (4.1 NI). The absence of a detailed description of the VAP diagnostic protocol means that it cannot be confirmed that measurement methods were identical between groups (4.2 NI). Nevertheless, outcome assessors were blinded to treatment allocation throughout the study (4.3 N). Given that assessors were unaware of group assignment, the risk of systematic evaluator bias is low regardless of the diagnostic criteria applied, and this domain is rated as low risk of bias overall.</w:t>
      </w:r>
    </w:p>
    <w:p w14:paraId="48D20521" w14:textId="77777777" w:rsidR="000714D3" w:rsidRDefault="000714D3" w:rsidP="000714D3">
      <w:pPr>
        <w:spacing w:after="120"/>
        <w:jc w:val="both"/>
      </w:pPr>
      <w:r>
        <w:rPr>
          <w:b/>
        </w:rPr>
        <w:t xml:space="preserve">Domain 5 — Bias in selection of the reported result — </w:t>
      </w:r>
      <w:r>
        <w:rPr>
          <w:b/>
          <w:color w:val="BF8F00"/>
        </w:rPr>
        <w:t xml:space="preserve">Some concerns. </w:t>
      </w:r>
      <w:r>
        <w:t>Trial registration was performed (NCT03667703) but full protocol consistency was not verified (5.1 NI). Insufficient detail was reported regarding the specific VAP measurement approach or the number of alternative definitions considered (5.2 NI). The possibility of selective reporting from multiple analyses cannot be fully excluded (5.3 PN).</w:t>
      </w:r>
    </w:p>
    <w:p w14:paraId="3C1B9782" w14:textId="77777777" w:rsidR="000714D3" w:rsidRDefault="000714D3" w:rsidP="000714D3">
      <w:pPr>
        <w:spacing w:after="280"/>
        <w:jc w:val="both"/>
      </w:pPr>
      <w:r>
        <w:rPr>
          <w:b/>
        </w:rPr>
        <w:t xml:space="preserve">Overall risk of bias — </w:t>
      </w:r>
      <w:r>
        <w:rPr>
          <w:b/>
          <w:color w:val="BF8F00"/>
        </w:rPr>
        <w:t xml:space="preserve">Some concerns. </w:t>
      </w:r>
      <w:r>
        <w:t>The overall judgment for the VAP outcome under ITT analysis is some concerns. The double-blind design and blinded outcome assessment support low risk ratings for Domains 1 to 4. The some concerns rating is attributable to Domain 5, where the absence of sufficient detail on VAP measurement methodology and the inability to confirm full protocol adherence in reporting prevent a low risk judgment.</w:t>
      </w:r>
    </w:p>
    <w:p w14:paraId="752BEC11" w14:textId="77777777" w:rsidR="000714D3" w:rsidRDefault="000714D3" w:rsidP="00037A97">
      <w:pPr>
        <w:spacing w:after="40"/>
        <w:rPr>
          <w:lang w:eastAsia="ja-JP"/>
        </w:rPr>
      </w:pPr>
    </w:p>
    <w:p w14:paraId="3D59FEDA" w14:textId="5AAEB9BD" w:rsidR="000714D3" w:rsidRDefault="000714D3" w:rsidP="000714D3">
      <w:pPr>
        <w:pStyle w:val="21"/>
      </w:pPr>
      <w:r>
        <w:rPr>
          <w:color w:val="1F497D"/>
          <w:sz w:val="24"/>
        </w:rPr>
        <w:t>Yildizdas et al. 2002</w:t>
      </w:r>
    </w:p>
    <w:p w14:paraId="4092B485" w14:textId="3B558FC8" w:rsidR="000714D3" w:rsidRDefault="000714D3" w:rsidP="000714D3">
      <w:pPr>
        <w:spacing w:after="120"/>
        <w:jc w:val="both"/>
      </w:pPr>
      <w:r>
        <w:rPr>
          <w:sz w:val="20"/>
        </w:rPr>
        <w:t xml:space="preserve">Yildizdas D, Yapicioglu H, Yilmaz HL. Occurrence of ventilator-associated pneumonia in mechanically ventilated pediatric intensive care patients during stress ulcer prophylaxis with sucralfate, ranitidine, and omeprazole. </w:t>
      </w:r>
      <w:r>
        <w:rPr>
          <w:i/>
          <w:sz w:val="20"/>
        </w:rPr>
        <w:t xml:space="preserve">J Crit Care. </w:t>
      </w:r>
      <w:r>
        <w:rPr>
          <w:sz w:val="20"/>
        </w:rPr>
        <w:t>2002;17(4):240-245. PMID: 12501151.</w:t>
      </w:r>
    </w:p>
    <w:p w14:paraId="572420D7" w14:textId="77777777" w:rsidR="000714D3" w:rsidRDefault="000714D3" w:rsidP="000714D3">
      <w:pPr>
        <w:spacing w:after="120"/>
        <w:jc w:val="both"/>
      </w:pPr>
      <w:r>
        <w:rPr>
          <w:b/>
        </w:rPr>
        <w:t xml:space="preserve">Domain 1 — Bias arising from the randomization process — </w:t>
      </w:r>
      <w:r>
        <w:rPr>
          <w:b/>
          <w:color w:val="C00000"/>
        </w:rPr>
        <w:t xml:space="preserve">High risk of bias. </w:t>
      </w:r>
      <w:r>
        <w:t>The allocation sequence was generated using a computer-generated random number table (1.1 Y). The study did not describe any mechanism of allocation concealment (1.2 PN). No clinically meaningful baseline imbalances were apparent across the four groups (1.3 PN), but the absence of described concealment warrants a judgment of high risk.</w:t>
      </w:r>
    </w:p>
    <w:p w14:paraId="200CBFBC" w14:textId="77777777" w:rsidR="000714D3" w:rsidRDefault="000714D3" w:rsidP="000714D3">
      <w:pPr>
        <w:spacing w:after="120"/>
        <w:jc w:val="both"/>
      </w:pPr>
      <w:r>
        <w:rPr>
          <w:b/>
        </w:rPr>
        <w:t xml:space="preserve">Domain 2 — Bias due to deviations from intended interventions — </w:t>
      </w:r>
      <w:r>
        <w:rPr>
          <w:b/>
          <w:color w:val="C00000"/>
        </w:rPr>
        <w:t xml:space="preserve">High risk of bias. </w:t>
      </w:r>
      <w:r>
        <w:t>The trial was explicitly conducted in an unblinded manner (2.1 PY, 2.2 Y). No placebo was used, and 40 of the 200 randomized patients (20%) were excluded after randomization. The remaining 160 patients were analyzed without reference to original allocation, violating the intention-to-treat principle (2.6 N, 2.7 PY).</w:t>
      </w:r>
    </w:p>
    <w:p w14:paraId="24244ACB" w14:textId="77777777" w:rsidR="000714D3" w:rsidRDefault="000714D3" w:rsidP="000714D3">
      <w:pPr>
        <w:spacing w:after="120"/>
        <w:jc w:val="both"/>
      </w:pPr>
      <w:r>
        <w:rPr>
          <w:b/>
        </w:rPr>
        <w:t xml:space="preserve">Domain 3 — Bias due to missing outcome data — </w:t>
      </w:r>
      <w:r>
        <w:rPr>
          <w:b/>
          <w:color w:val="C00000"/>
        </w:rPr>
        <w:t xml:space="preserve">High risk of bias. </w:t>
      </w:r>
      <w:r>
        <w:t>Outcome data were unavailable for the 40 patients excluded after randomization (3.1 N). VAP was defined as pneumonia occurring at least 48 hours after initiation of mechanical ventilation, and the exclusion criteria included both death and new diagnosis of pneumonia within the first 48 hours. Both death and early-onset pneumonia reflect severe underlying illness, which is itself a risk factor for subsequently developing VAP, rendering the missing data potentially non-random (3.2 N, 3.3 PY, 3.4 NI).</w:t>
      </w:r>
    </w:p>
    <w:p w14:paraId="1F5609C4" w14:textId="77777777" w:rsidR="000714D3" w:rsidRDefault="000714D3" w:rsidP="000714D3">
      <w:pPr>
        <w:spacing w:after="120"/>
        <w:jc w:val="both"/>
      </w:pPr>
      <w:r>
        <w:rPr>
          <w:b/>
        </w:rPr>
        <w:lastRenderedPageBreak/>
        <w:t xml:space="preserve">Domain 4 — Bias in measurement of the outcome — </w:t>
      </w:r>
      <w:r>
        <w:rPr>
          <w:b/>
          <w:color w:val="C00000"/>
        </w:rPr>
        <w:t xml:space="preserve">High risk of bias. </w:t>
      </w:r>
      <w:r>
        <w:t>The ascertainment method for VAP was appropriate (4.1 N), and there was no evidence of differential measurement across groups (4.2 N). The study was unblinded, so outcome assessors were aware of each patient's assigned intervention (4.3 PY). The VAP diagnostic criteria included subjective elements, notably radiographic cavitation and the characterization of tracheal aspirate as "purulent." Assessors who knew a patient's group assignment could apply these criteria inconsistently (4.4 PY, 4.5 PY).</w:t>
      </w:r>
    </w:p>
    <w:p w14:paraId="42C16AA3" w14:textId="77777777" w:rsidR="000714D3" w:rsidRDefault="000714D3" w:rsidP="000714D3">
      <w:pPr>
        <w:spacing w:after="120"/>
        <w:jc w:val="both"/>
      </w:pPr>
      <w:r>
        <w:rPr>
          <w:b/>
        </w:rPr>
        <w:t xml:space="preserve">Domain 5 — Bias in selection of the reported result — </w:t>
      </w:r>
      <w:r>
        <w:rPr>
          <w:b/>
          <w:color w:val="C00000"/>
        </w:rPr>
        <w:t xml:space="preserve">High risk of bias. </w:t>
      </w:r>
      <w:r>
        <w:t>Multiple diagnostic criteria for VAP exist in the literature, and the study modified its diagnostic protocol from existing guidelines without pre-specifying this modification in a registered protocol (5.2 Y). Given the absence of a pre-registered analysis plan and the use of a composite diagnostic definition derived from multiple criteria, it is plausible that the reported results were selected from among multiple possible analytical approaches (5.3 PY). This domain is rated as high risk.</w:t>
      </w:r>
    </w:p>
    <w:p w14:paraId="1124BF2B" w14:textId="77777777" w:rsidR="000714D3" w:rsidRDefault="000714D3" w:rsidP="000714D3">
      <w:pPr>
        <w:spacing w:after="280"/>
        <w:jc w:val="both"/>
      </w:pPr>
      <w:r>
        <w:rPr>
          <w:b/>
        </w:rPr>
        <w:t xml:space="preserve">Overall risk of bias — </w:t>
      </w:r>
      <w:r>
        <w:rPr>
          <w:b/>
          <w:color w:val="C00000"/>
        </w:rPr>
        <w:t xml:space="preserve">High risk of bias. </w:t>
      </w:r>
      <w:r>
        <w:t>The overall judgment for the VAP outcome is high risk, with critical concerns across all five domains. Beyond the shared concerns in Domains 1 and 2, the missing outcome data are potentially related to VAP risk through the health-status dependency of the exclusion reasons (Domain 3); the subjective components of the VAP diagnostic criteria introduce evaluator bias in an unblinded setting (Domain 4); and the use of a non-pre-registered composite diagnostic definition raises concern about selective outcome ascertainment (Domain 5).</w:t>
      </w:r>
    </w:p>
    <w:p w14:paraId="20EF2D82" w14:textId="77777777" w:rsidR="000714D3" w:rsidRPr="000714D3" w:rsidRDefault="000714D3" w:rsidP="00037A97">
      <w:pPr>
        <w:spacing w:after="40"/>
        <w:rPr>
          <w:lang w:eastAsia="ja-JP"/>
        </w:rPr>
      </w:pPr>
    </w:p>
    <w:p w14:paraId="18434AF9" w14:textId="77777777" w:rsidR="00037A97" w:rsidRDefault="00037A97" w:rsidP="00037A97">
      <w:pPr>
        <w:spacing w:after="40"/>
        <w:rPr>
          <w:lang w:eastAsia="ja-JP"/>
        </w:rPr>
      </w:pPr>
    </w:p>
    <w:p w14:paraId="7B501613" w14:textId="77777777" w:rsidR="00FF4F00" w:rsidRDefault="00794277">
      <w:pPr>
        <w:spacing w:before="240" w:after="80"/>
      </w:pPr>
      <w:r>
        <w:rPr>
          <w:b/>
          <w:i/>
          <w:sz w:val="24"/>
        </w:rPr>
        <w:t>ROBINS-I V2 Assessment — Observational Studies</w:t>
      </w:r>
    </w:p>
    <w:p w14:paraId="4A6BDC46" w14:textId="77777777" w:rsidR="00FF4F00" w:rsidRDefault="00794277">
      <w:pPr>
        <w:spacing w:after="120"/>
      </w:pPr>
      <w:r>
        <w:t>Risk of bias in non-randomized studies was assessed using ROBINS-I version 2. A preliminary triage step (Preliminary Considerations, Part B) was first applied to evaluate whether each study design permitted a reliable estimate of the intervention effect. Studies receiving a “No” response were rated at critical risk of bias without proceeding to full domain-level assessment. Results are organized by outcome; where a study passed the triage stage, the detailed domain-level assessment is presented within the same outcome section.</w:t>
      </w:r>
    </w:p>
    <w:p w14:paraId="26EE4F8F" w14:textId="4069C89C" w:rsidR="00FF4F00" w:rsidRDefault="00794277">
      <w:pPr>
        <w:spacing w:after="40"/>
      </w:pPr>
      <w:r>
        <w:rPr>
          <w:b/>
        </w:rPr>
        <w:t xml:space="preserve">1.  </w:t>
      </w:r>
      <w:r w:rsidR="00075E73">
        <w:rPr>
          <w:rFonts w:hint="eastAsia"/>
          <w:b/>
          <w:lang w:eastAsia="ja-JP"/>
        </w:rPr>
        <w:t xml:space="preserve">Upper </w:t>
      </w:r>
      <w:r>
        <w:rPr>
          <w:b/>
        </w:rPr>
        <w:t>Gastrointestinal Bleeding (</w:t>
      </w:r>
      <w:r w:rsidR="00075E73">
        <w:rPr>
          <w:rFonts w:hint="eastAsia"/>
          <w:b/>
          <w:lang w:eastAsia="ja-JP"/>
        </w:rPr>
        <w:t>U</w:t>
      </w:r>
      <w:r>
        <w:rPr>
          <w:b/>
        </w:rPr>
        <w:t>GIB)</w:t>
      </w:r>
    </w:p>
    <w:p w14:paraId="1F6EEA88" w14:textId="3541E090" w:rsidR="00FF4F00" w:rsidRDefault="00794277">
      <w:pPr>
        <w:spacing w:after="120"/>
      </w:pPr>
      <w:r>
        <w:t xml:space="preserve">The following nine studies reported </w:t>
      </w:r>
      <w:r w:rsidR="00075E73">
        <w:rPr>
          <w:rFonts w:hint="eastAsia"/>
          <w:lang w:eastAsia="ja-JP"/>
        </w:rPr>
        <w:t>U</w:t>
      </w:r>
      <w:r>
        <w:t>GIB outcomes stratified by SUP status and were included in the risk of bias assessment:</w:t>
      </w:r>
    </w:p>
    <w:p w14:paraId="7D28251D" w14:textId="77777777" w:rsidR="00FF4F00" w:rsidRDefault="00794277">
      <w:pPr>
        <w:pStyle w:val="a0"/>
        <w:spacing w:after="60"/>
      </w:pPr>
      <w:r>
        <w:t>Lacroix et al., 1992</w:t>
      </w:r>
    </w:p>
    <w:p w14:paraId="0824D535" w14:textId="77777777" w:rsidR="00FF4F00" w:rsidRDefault="00794277">
      <w:pPr>
        <w:pStyle w:val="a0"/>
        <w:spacing w:after="60"/>
      </w:pPr>
      <w:r>
        <w:t>Behrens et al., 1994</w:t>
      </w:r>
    </w:p>
    <w:p w14:paraId="0813F58D" w14:textId="77777777" w:rsidR="00FF4F00" w:rsidRDefault="00794277">
      <w:pPr>
        <w:pStyle w:val="a0"/>
        <w:spacing w:after="60"/>
      </w:pPr>
      <w:r>
        <w:t>Nithiwathanapong et al., 2005</w:t>
      </w:r>
    </w:p>
    <w:p w14:paraId="00BFC48B" w14:textId="77777777" w:rsidR="00FF4F00" w:rsidRDefault="00794277">
      <w:pPr>
        <w:pStyle w:val="a0"/>
        <w:spacing w:after="60"/>
      </w:pPr>
      <w:r>
        <w:t>Abdollahi et al., 2016</w:t>
      </w:r>
    </w:p>
    <w:p w14:paraId="57E3C350" w14:textId="77777777" w:rsidR="00FF4F00" w:rsidRDefault="00794277">
      <w:pPr>
        <w:pStyle w:val="a0"/>
        <w:spacing w:after="60"/>
      </w:pPr>
      <w:r>
        <w:t>Sahin et al., 2016</w:t>
      </w:r>
    </w:p>
    <w:p w14:paraId="57C8C474" w14:textId="77777777" w:rsidR="00FF4F00" w:rsidRDefault="00794277">
      <w:pPr>
        <w:pStyle w:val="a0"/>
        <w:spacing w:after="60"/>
      </w:pPr>
      <w:r>
        <w:t>Duffett et al., 2020</w:t>
      </w:r>
    </w:p>
    <w:p w14:paraId="4C258D20" w14:textId="77777777" w:rsidR="00FF4F00" w:rsidRDefault="00794277">
      <w:pPr>
        <w:pStyle w:val="a0"/>
        <w:spacing w:after="60"/>
      </w:pPr>
      <w:r>
        <w:t>Roberts et al., 2022</w:t>
      </w:r>
    </w:p>
    <w:p w14:paraId="57A3EF8C" w14:textId="77777777" w:rsidR="00FF4F00" w:rsidRDefault="00794277">
      <w:pPr>
        <w:pStyle w:val="a0"/>
        <w:spacing w:after="60"/>
      </w:pPr>
      <w:r>
        <w:t>Sochet et al., 2020</w:t>
      </w:r>
    </w:p>
    <w:p w14:paraId="4729AF6A" w14:textId="77777777" w:rsidR="00FF4F00" w:rsidRDefault="00794277">
      <w:pPr>
        <w:pStyle w:val="a0"/>
        <w:spacing w:after="60"/>
      </w:pPr>
      <w:r>
        <w:t>Derojanawong et al., 2009</w:t>
      </w:r>
    </w:p>
    <w:p w14:paraId="253B6261" w14:textId="77777777" w:rsidR="00FF4F00" w:rsidRDefault="00794277">
      <w:pPr>
        <w:spacing w:after="40"/>
      </w:pPr>
      <w:r>
        <w:rPr>
          <w:i/>
        </w:rPr>
        <w:t>Triage judgment: Critical risk — all nine studies</w:t>
      </w:r>
    </w:p>
    <w:p w14:paraId="7239FA27" w14:textId="611B5237" w:rsidR="00FF4F00" w:rsidRDefault="00794277">
      <w:pPr>
        <w:spacing w:after="120"/>
        <w:rPr>
          <w:lang w:eastAsia="ja-JP"/>
        </w:rPr>
      </w:pPr>
      <w:r>
        <w:t xml:space="preserve">In Part B of the Preliminary Considerations, all studies received a response of “No,” indicating that none permitted a reliable comparison of </w:t>
      </w:r>
      <w:r w:rsidR="00075E73">
        <w:rPr>
          <w:rFonts w:hint="eastAsia"/>
          <w:lang w:eastAsia="ja-JP"/>
        </w:rPr>
        <w:t>U</w:t>
      </w:r>
      <w:r>
        <w:t xml:space="preserve">GIB outcomes between patients who received SUP and those who did not. The primary reason was </w:t>
      </w:r>
      <w:r w:rsidR="00162DD6">
        <w:rPr>
          <w:rFonts w:hint="eastAsia"/>
          <w:lang w:eastAsia="ja-JP"/>
        </w:rPr>
        <w:t xml:space="preserve">uncontrolled </w:t>
      </w:r>
      <w:r>
        <w:t xml:space="preserve">confounding by indication: SUP was </w:t>
      </w:r>
      <w:r>
        <w:lastRenderedPageBreak/>
        <w:t xml:space="preserve">administered at clinician discretion without a pre-specified protocol in all studies, and clinically sicker patients were more likely to receive prophylaxis. </w:t>
      </w:r>
      <w:r w:rsidR="00AA67D1">
        <w:rPr>
          <w:rFonts w:hint="eastAsia"/>
          <w:lang w:eastAsia="ja-JP"/>
        </w:rPr>
        <w:t>The i</w:t>
      </w:r>
      <w:r w:rsidR="0008678E">
        <w:rPr>
          <w:rFonts w:hint="eastAsia"/>
          <w:lang w:eastAsia="ja-JP"/>
        </w:rPr>
        <w:t xml:space="preserve">ncluded studies did not </w:t>
      </w:r>
      <w:r w:rsidR="00692398">
        <w:rPr>
          <w:rFonts w:hint="eastAsia"/>
          <w:lang w:eastAsia="ja-JP"/>
        </w:rPr>
        <w:t>make</w:t>
      </w:r>
      <w:r w:rsidR="008B7B93" w:rsidRPr="008B7B93">
        <w:t xml:space="preserve"> </w:t>
      </w:r>
      <w:r w:rsidR="007F62F2">
        <w:rPr>
          <w:rFonts w:hint="eastAsia"/>
          <w:lang w:eastAsia="ja-JP"/>
        </w:rPr>
        <w:t xml:space="preserve">any </w:t>
      </w:r>
      <w:r w:rsidR="008B7B93" w:rsidRPr="008B7B93">
        <w:t>attempt to control for confounding in the result</w:t>
      </w:r>
      <w:r w:rsidR="004914D1">
        <w:rPr>
          <w:rFonts w:hint="eastAsia"/>
          <w:lang w:eastAsia="ja-JP"/>
        </w:rPr>
        <w:t xml:space="preserve"> </w:t>
      </w:r>
      <w:r w:rsidR="00692398">
        <w:rPr>
          <w:rFonts w:hint="eastAsia"/>
          <w:lang w:eastAsia="ja-JP"/>
        </w:rPr>
        <w:t>(</w:t>
      </w:r>
      <w:r w:rsidR="004914D1">
        <w:rPr>
          <w:rFonts w:hint="eastAsia"/>
          <w:lang w:eastAsia="ja-JP"/>
        </w:rPr>
        <w:t>U</w:t>
      </w:r>
      <w:r w:rsidR="00692398">
        <w:rPr>
          <w:rFonts w:hint="eastAsia"/>
          <w:lang w:eastAsia="ja-JP"/>
        </w:rPr>
        <w:t>GIB)</w:t>
      </w:r>
      <w:r w:rsidR="0008678E">
        <w:rPr>
          <w:rFonts w:hint="eastAsia"/>
          <w:lang w:eastAsia="ja-JP"/>
        </w:rPr>
        <w:t xml:space="preserve">. </w:t>
      </w:r>
      <w:r>
        <w:t>This systematic between-group difference at baseline renders a causal estimate of the effect of SUP on GIB unfeasible from these observational data.</w:t>
      </w:r>
    </w:p>
    <w:p w14:paraId="353E9EFB" w14:textId="77777777" w:rsidR="00FF4F00" w:rsidRDefault="00794277">
      <w:pPr>
        <w:spacing w:after="40"/>
      </w:pPr>
      <w:r>
        <w:rPr>
          <w:b/>
        </w:rPr>
        <w:t>2.  Clinically Significant Gastrointestinal Bleeding</w:t>
      </w:r>
    </w:p>
    <w:p w14:paraId="3E65E3EB" w14:textId="77777777" w:rsidR="00FF4F00" w:rsidRDefault="00794277">
      <w:pPr>
        <w:spacing w:after="120"/>
      </w:pPr>
      <w:r>
        <w:t>The following six studies reported clinically significant gastrointestinal bleeding outcomes stratified by SUP status:</w:t>
      </w:r>
    </w:p>
    <w:p w14:paraId="65E574F4" w14:textId="77777777" w:rsidR="00FF4F00" w:rsidRDefault="00794277">
      <w:pPr>
        <w:pStyle w:val="a0"/>
        <w:spacing w:after="60"/>
      </w:pPr>
      <w:r>
        <w:t>Lacroix et al., 1992</w:t>
      </w:r>
    </w:p>
    <w:p w14:paraId="2EC49287" w14:textId="77777777" w:rsidR="00FF4F00" w:rsidRDefault="00794277">
      <w:pPr>
        <w:pStyle w:val="a0"/>
        <w:spacing w:after="60"/>
      </w:pPr>
      <w:r>
        <w:t>Nithiwathanapong et al., 2005</w:t>
      </w:r>
    </w:p>
    <w:p w14:paraId="46360F5F" w14:textId="77777777" w:rsidR="00FF4F00" w:rsidRDefault="00794277">
      <w:pPr>
        <w:pStyle w:val="a0"/>
        <w:spacing w:after="60"/>
      </w:pPr>
      <w:r>
        <w:t>Abdollahi et al., 2016</w:t>
      </w:r>
    </w:p>
    <w:p w14:paraId="22F8908C" w14:textId="77777777" w:rsidR="00FF4F00" w:rsidRDefault="00794277">
      <w:pPr>
        <w:pStyle w:val="a0"/>
        <w:spacing w:after="60"/>
      </w:pPr>
      <w:r>
        <w:t>Sahin et al., 2016</w:t>
      </w:r>
    </w:p>
    <w:p w14:paraId="34CE06F4" w14:textId="77777777" w:rsidR="00FF4F00" w:rsidRDefault="00794277">
      <w:pPr>
        <w:pStyle w:val="a0"/>
        <w:spacing w:after="60"/>
      </w:pPr>
      <w:r>
        <w:t>Roberts et al., 2022</w:t>
      </w:r>
    </w:p>
    <w:p w14:paraId="5EED8C0A" w14:textId="77777777" w:rsidR="00FF4F00" w:rsidRDefault="00794277">
      <w:pPr>
        <w:pStyle w:val="a0"/>
        <w:spacing w:after="60"/>
      </w:pPr>
      <w:r>
        <w:t>Sochet et al., 2020</w:t>
      </w:r>
    </w:p>
    <w:p w14:paraId="5A224DD2" w14:textId="77777777" w:rsidR="00FF4F00" w:rsidRDefault="00794277">
      <w:pPr>
        <w:spacing w:after="40"/>
      </w:pPr>
      <w:r>
        <w:rPr>
          <w:i/>
        </w:rPr>
        <w:t>Triage judgment: Critical risk — all six studies</w:t>
      </w:r>
    </w:p>
    <w:p w14:paraId="71106A98" w14:textId="77777777" w:rsidR="00FF4F00" w:rsidRDefault="00794277">
      <w:pPr>
        <w:spacing w:after="120"/>
      </w:pPr>
      <w:r>
        <w:t>All six studies received a “No” response to Part B of the Preliminary Considerations, for the same reasons described in Section 1. Additionally, the definition of clinically significant gastrointestinal bleeding varied substantially across studies—ranging from transfusion requirements alone to composite criteria including hemodynamic instability and hemoglobin decrease—further limiting the reliability of cross-study comparisons.</w:t>
      </w:r>
    </w:p>
    <w:p w14:paraId="1DD64C58" w14:textId="77777777" w:rsidR="00FF4F00" w:rsidRDefault="00794277">
      <w:pPr>
        <w:spacing w:after="40"/>
      </w:pPr>
      <w:r>
        <w:rPr>
          <w:b/>
        </w:rPr>
        <w:t>3.  Mortality</w:t>
      </w:r>
    </w:p>
    <w:p w14:paraId="413BA103" w14:textId="77777777" w:rsidR="00FF4F00" w:rsidRDefault="00794277">
      <w:pPr>
        <w:spacing w:after="120"/>
      </w:pPr>
      <w:r>
        <w:t>The following five studies reported mortality outcomes stratified by SUP status:</w:t>
      </w:r>
    </w:p>
    <w:p w14:paraId="279CD026" w14:textId="77777777" w:rsidR="00FF4F00" w:rsidRDefault="00794277">
      <w:pPr>
        <w:pStyle w:val="a0"/>
        <w:spacing w:after="60"/>
      </w:pPr>
      <w:r>
        <w:t>Lopriore et al., 2002</w:t>
      </w:r>
    </w:p>
    <w:p w14:paraId="45EA1666" w14:textId="77777777" w:rsidR="00FF4F00" w:rsidRDefault="00794277">
      <w:pPr>
        <w:pStyle w:val="a0"/>
        <w:spacing w:after="60"/>
      </w:pPr>
      <w:r>
        <w:t>Duffett et al., 2020</w:t>
      </w:r>
    </w:p>
    <w:p w14:paraId="406A23AB" w14:textId="77777777" w:rsidR="00FF4F00" w:rsidRDefault="00794277">
      <w:pPr>
        <w:pStyle w:val="a0"/>
        <w:spacing w:after="60"/>
      </w:pPr>
      <w:r>
        <w:t>Goyer et al., 2022 — passed triage → see detailed assessment below</w:t>
      </w:r>
    </w:p>
    <w:p w14:paraId="42E71E14" w14:textId="77777777" w:rsidR="00FF4F00" w:rsidRDefault="00794277">
      <w:pPr>
        <w:pStyle w:val="a0"/>
        <w:spacing w:after="60"/>
      </w:pPr>
      <w:r>
        <w:t>Roberts et al., 2022</w:t>
      </w:r>
    </w:p>
    <w:p w14:paraId="3779BFA1" w14:textId="77777777" w:rsidR="00FF4F00" w:rsidRDefault="00794277">
      <w:pPr>
        <w:pStyle w:val="a0"/>
        <w:spacing w:after="60"/>
      </w:pPr>
      <w:r>
        <w:t>Sochet et al., 2020</w:t>
      </w:r>
    </w:p>
    <w:p w14:paraId="54B95F93" w14:textId="77777777" w:rsidR="00FF4F00" w:rsidRDefault="00794277">
      <w:pPr>
        <w:spacing w:after="40"/>
      </w:pPr>
      <w:r>
        <w:rPr>
          <w:i/>
        </w:rPr>
        <w:t>Triage judgment: Critical risk — Lopriore et al., 2002; Duffett et al., 2020; Roberts et al., 2022; Sochet et al., 2020</w:t>
      </w:r>
    </w:p>
    <w:p w14:paraId="66946D4E" w14:textId="0334B1FC" w:rsidR="00FF4F00" w:rsidRDefault="00794277">
      <w:pPr>
        <w:spacing w:after="120"/>
      </w:pPr>
      <w:r>
        <w:t xml:space="preserve">Four of the five studies received a “No” response to Part B of the Preliminary Considerations. In addition to </w:t>
      </w:r>
      <w:r w:rsidR="00CD08E6">
        <w:rPr>
          <w:rFonts w:hint="eastAsia"/>
          <w:lang w:eastAsia="ja-JP"/>
        </w:rPr>
        <w:t xml:space="preserve">uncontrolled </w:t>
      </w:r>
      <w:r>
        <w:t>confounding by indication, mortality in these studies was driven predominantly by the severity of the underlying illness rather than SUP use, and none was designed or powered to evaluate the effect of SUP on mortality as a primary endpoint. Goyer et al. (2022) passed the triage stage and was subjected to full domain-level assessment; details are provided below.</w:t>
      </w:r>
    </w:p>
    <w:p w14:paraId="6732408B" w14:textId="77777777" w:rsidR="00FF4F00" w:rsidRDefault="00794277">
      <w:pPr>
        <w:spacing w:after="40"/>
      </w:pPr>
      <w:r>
        <w:rPr>
          <w:b/>
          <w:i/>
        </w:rPr>
        <w:t>3.1  Detailed ROBINS-I Domain Assessment: Goyer et al., 2022</w:t>
      </w:r>
    </w:p>
    <w:p w14:paraId="0DE31454" w14:textId="77777777" w:rsidR="00FF4F00" w:rsidRDefault="00794277">
      <w:pPr>
        <w:spacing w:after="120"/>
      </w:pPr>
      <w:r>
        <w:t>Goyer et al. (2022) conducted a single-center retrospective cohort study with propensity score matching in a French tertiary PICU. The result assessed for risk of bias was PICU mortality (PPI group: 4/184; no-PPI group: 7/184; RR 0.57, 95% CI 0.17–1.92), based on the propensity score–matched population (n = 184 per group).</w:t>
      </w:r>
    </w:p>
    <w:p w14:paraId="5B8F8958" w14:textId="77777777" w:rsidR="00FF4F00" w:rsidRDefault="00794277">
      <w:pPr>
        <w:spacing w:after="80"/>
      </w:pPr>
      <w:r>
        <w:rPr>
          <w:b/>
        </w:rPr>
        <w:t>Target Trial Specification</w:t>
      </w:r>
    </w:p>
    <w:tbl>
      <w:tblPr>
        <w:tblStyle w:val="afe"/>
        <w:tblW w:w="0" w:type="auto"/>
        <w:tblLook w:val="04A0" w:firstRow="1" w:lastRow="0" w:firstColumn="1" w:lastColumn="0" w:noHBand="0" w:noVBand="1"/>
      </w:tblPr>
      <w:tblGrid>
        <w:gridCol w:w="2134"/>
        <w:gridCol w:w="7052"/>
      </w:tblGrid>
      <w:tr w:rsidR="00FF4F00" w14:paraId="6AC804FD"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4E2F7" w14:textId="77777777" w:rsidR="00FF4F00" w:rsidRDefault="00794277">
            <w:r>
              <w:rPr>
                <w:b/>
                <w:sz w:val="18"/>
              </w:rPr>
              <w:t>Participants</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D3EA15" w14:textId="77777777" w:rsidR="00FF4F00" w:rsidRDefault="00794277">
            <w:r>
              <w:rPr>
                <w:sz w:val="18"/>
              </w:rPr>
              <w:t>Children ≥1 month of age admitted to the PICU, excluding those with PICU stay &lt;48 hours or death on arrival.</w:t>
            </w:r>
          </w:p>
        </w:tc>
      </w:tr>
      <w:tr w:rsidR="00FF4F00" w14:paraId="1E289C59"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744431" w14:textId="77777777" w:rsidR="00FF4F00" w:rsidRDefault="00794277">
            <w:r>
              <w:rPr>
                <w:b/>
                <w:sz w:val="18"/>
              </w:rPr>
              <w:t>Intervention</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8BD08" w14:textId="77777777" w:rsidR="00FF4F00" w:rsidRDefault="00794277">
            <w:r>
              <w:rPr>
                <w:sz w:val="18"/>
              </w:rPr>
              <w:t>Initiation of PPI administration during PICU stay (continuation and adherence thereafter not required).</w:t>
            </w:r>
          </w:p>
        </w:tc>
      </w:tr>
      <w:tr w:rsidR="00FF4F00" w14:paraId="1D54CB98"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2BDE7" w14:textId="77777777" w:rsidR="00FF4F00" w:rsidRDefault="00794277">
            <w:r>
              <w:rPr>
                <w:b/>
                <w:sz w:val="18"/>
              </w:rPr>
              <w:lastRenderedPageBreak/>
              <w:t>Comparator</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3C09E7" w14:textId="77777777" w:rsidR="00FF4F00" w:rsidRDefault="00794277">
            <w:r>
              <w:rPr>
                <w:sz w:val="18"/>
              </w:rPr>
              <w:t>No PPI administration during PICU stay.</w:t>
            </w:r>
          </w:p>
        </w:tc>
      </w:tr>
      <w:tr w:rsidR="00FF4F00" w14:paraId="55388389"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3568A" w14:textId="77777777" w:rsidR="00FF4F00" w:rsidRDefault="00794277">
            <w:r>
              <w:rPr>
                <w:b/>
                <w:sz w:val="18"/>
              </w:rPr>
              <w:t>Effect of interest</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EBE18B" w14:textId="77777777" w:rsidR="00FF4F00" w:rsidRDefault="00794277">
            <w:r>
              <w:rPr>
                <w:sz w:val="18"/>
              </w:rPr>
              <w:t>Intention-to-treat effect of assignment to PPI versus no-PPI strategy.</w:t>
            </w:r>
          </w:p>
        </w:tc>
      </w:tr>
      <w:tr w:rsidR="00FF4F00" w14:paraId="3D4DB5C6"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1B0A24" w14:textId="77777777" w:rsidR="00FF4F00" w:rsidRDefault="00794277">
            <w:r>
              <w:rPr>
                <w:b/>
                <w:sz w:val="18"/>
              </w:rPr>
              <w:t>Outcome</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0EC15" w14:textId="77777777" w:rsidR="00FF4F00" w:rsidRDefault="00794277">
            <w:r>
              <w:rPr>
                <w:sz w:val="18"/>
              </w:rPr>
              <w:t>PICU mortality.</w:t>
            </w:r>
          </w:p>
        </w:tc>
      </w:tr>
      <w:tr w:rsidR="00FF4F00" w14:paraId="6C67D588" w14:textId="77777777">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34618" w14:textId="77777777" w:rsidR="00FF4F00" w:rsidRDefault="00794277">
            <w:r>
              <w:rPr>
                <w:b/>
                <w:sz w:val="18"/>
              </w:rPr>
              <w:t>Analysis population</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4E667" w14:textId="77777777" w:rsidR="00FF4F00" w:rsidRDefault="00794277">
            <w:r>
              <w:rPr>
                <w:sz w:val="18"/>
              </w:rPr>
              <w:t>Patients selected by propensity score matching (n = 184 per group).</w:t>
            </w:r>
          </w:p>
        </w:tc>
      </w:tr>
    </w:tbl>
    <w:p w14:paraId="6677B39F" w14:textId="77777777" w:rsidR="00FF4F00" w:rsidRDefault="00FF4F00">
      <w:pPr>
        <w:spacing w:after="120"/>
      </w:pPr>
    </w:p>
    <w:p w14:paraId="1932C649" w14:textId="77777777" w:rsidR="00FF4F00" w:rsidRDefault="00794277">
      <w:pPr>
        <w:spacing w:after="40"/>
      </w:pPr>
      <w:r>
        <w:rPr>
          <w:b/>
        </w:rPr>
        <w:t>Domain 1: Bias due to Confounding</w:t>
      </w:r>
    </w:p>
    <w:p w14:paraId="4BEDAB19" w14:textId="77777777" w:rsidR="00FF4F00" w:rsidRDefault="00794277">
      <w:pPr>
        <w:spacing w:after="40"/>
      </w:pPr>
      <w:r>
        <w:rPr>
          <w:i/>
        </w:rPr>
        <w:t>Judgment: Serious risk</w:t>
      </w:r>
    </w:p>
    <w:p w14:paraId="77C9A9FB" w14:textId="77777777" w:rsidR="00FF4F00" w:rsidRDefault="00794277">
      <w:pPr>
        <w:spacing w:after="120"/>
      </w:pPr>
      <w:r>
        <w:t>Eleven confounding factors were pre-specified at the planning stage. The propensity score model controlled for illness severity (PRISM score), mechanical ventilation, sex, age, history of prematurity, surgery, immunosuppression, central venous catheter, bladder catheter, and PICU length of stay prior to the onset of nosocomial infection. However, several clinically important confounders remained uncontrolled, with the expected direction of residual confounding predominantly upward (overestimation of PPI benefit or underestimation of harm). Because the study authors did not confirm that controlling for these variables was unnecessary, Domain 1 was rated as serious risk of bias (signalling question: Seriously No to “Did the authors control for all important confounding factors for which this was necessary?”).</w:t>
      </w:r>
    </w:p>
    <w:p w14:paraId="0E8B0277" w14:textId="77777777" w:rsidR="00FF4F00" w:rsidRDefault="00794277">
      <w:pPr>
        <w:spacing w:before="120" w:after="80"/>
      </w:pPr>
      <w:r>
        <w:rPr>
          <w:i/>
        </w:rPr>
        <w:t>Table 1. Assessment of confounding factors (Domain 1).</w:t>
      </w:r>
    </w:p>
    <w:tbl>
      <w:tblPr>
        <w:tblStyle w:val="afe"/>
        <w:tblW w:w="0" w:type="auto"/>
        <w:tblLook w:val="04A0" w:firstRow="1" w:lastRow="0" w:firstColumn="1" w:lastColumn="0" w:noHBand="0" w:noVBand="1"/>
      </w:tblPr>
      <w:tblGrid>
        <w:gridCol w:w="1872"/>
        <w:gridCol w:w="1296"/>
        <w:gridCol w:w="876"/>
        <w:gridCol w:w="720"/>
        <w:gridCol w:w="962"/>
        <w:gridCol w:w="953"/>
        <w:gridCol w:w="2304"/>
      </w:tblGrid>
      <w:tr w:rsidR="00FF4F00" w14:paraId="4748723A" w14:textId="77777777">
        <w:tc>
          <w:tcPr>
            <w:tcW w:w="1872"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5EA4183" w14:textId="77777777" w:rsidR="00FF4F00" w:rsidRDefault="00794277">
            <w:r>
              <w:rPr>
                <w:b/>
                <w:sz w:val="14"/>
              </w:rPr>
              <w:t>Confounding factor</w:t>
            </w:r>
          </w:p>
        </w:tc>
        <w:tc>
          <w:tcPr>
            <w:tcW w:w="122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6DFED80" w14:textId="77777777" w:rsidR="00FF4F00" w:rsidRDefault="00794277">
            <w:r>
              <w:rPr>
                <w:b/>
                <w:sz w:val="14"/>
              </w:rPr>
              <w:t>Measured variable(s)</w:t>
            </w:r>
          </w:p>
        </w:tc>
        <w:tc>
          <w:tcPr>
            <w:tcW w:w="720"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57A6EFBC" w14:textId="77777777" w:rsidR="00FF4F00" w:rsidRDefault="00794277">
            <w:r>
              <w:rPr>
                <w:b/>
                <w:sz w:val="14"/>
              </w:rPr>
              <w:t>Controlled?</w:t>
            </w:r>
            <w:r>
              <w:rPr>
                <w:b/>
                <w:sz w:val="14"/>
              </w:rPr>
              <w:br/>
              <w:t>(Y/N)</w:t>
            </w:r>
          </w:p>
        </w:tc>
        <w:tc>
          <w:tcPr>
            <w:tcW w:w="720"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3A47EDE4" w14:textId="77777777" w:rsidR="00FF4F00" w:rsidRDefault="00794277">
            <w:r>
              <w:rPr>
                <w:b/>
                <w:sz w:val="14"/>
              </w:rPr>
              <w:t>Valid/</w:t>
            </w:r>
            <w:r>
              <w:rPr>
                <w:b/>
                <w:sz w:val="14"/>
              </w:rPr>
              <w:br/>
              <w:t>Reliable?</w:t>
            </w:r>
          </w:p>
        </w:tc>
        <w:tc>
          <w:tcPr>
            <w:tcW w:w="86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747E218F" w14:textId="77777777" w:rsidR="00FF4F00" w:rsidRDefault="00794277">
            <w:r>
              <w:rPr>
                <w:b/>
                <w:sz w:val="14"/>
              </w:rPr>
              <w:t>Evidence</w:t>
            </w:r>
            <w:r>
              <w:rPr>
                <w:b/>
                <w:sz w:val="14"/>
              </w:rPr>
              <w:br/>
              <w:t>unnecessary?</w:t>
            </w:r>
          </w:p>
        </w:tc>
        <w:tc>
          <w:tcPr>
            <w:tcW w:w="93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25DA7412" w14:textId="77777777" w:rsidR="00FF4F00" w:rsidRDefault="00794277">
            <w:r>
              <w:rPr>
                <w:b/>
                <w:sz w:val="14"/>
              </w:rPr>
              <w:t>Expected bias</w:t>
            </w:r>
            <w:r>
              <w:rPr>
                <w:b/>
                <w:sz w:val="14"/>
              </w:rPr>
              <w:br/>
              <w:t>direction</w:t>
            </w:r>
          </w:p>
        </w:tc>
        <w:tc>
          <w:tcPr>
            <w:tcW w:w="230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8A3999A" w14:textId="77777777" w:rsidR="00FF4F00" w:rsidRDefault="00794277">
            <w:r>
              <w:rPr>
                <w:b/>
                <w:sz w:val="14"/>
              </w:rPr>
              <w:t>Comments</w:t>
            </w:r>
          </w:p>
        </w:tc>
      </w:tr>
      <w:tr w:rsidR="00FF4F00" w14:paraId="247F37DB" w14:textId="77777777">
        <w:tc>
          <w:tcPr>
            <w:tcW w:w="8640" w:type="dxa"/>
            <w:gridSpan w:val="7"/>
            <w:tcBorders>
              <w:top w:val="single" w:sz="4" w:space="0" w:color="000000"/>
              <w:left w:val="single" w:sz="4" w:space="0" w:color="000000"/>
              <w:bottom w:val="single" w:sz="4" w:space="0" w:color="000000"/>
              <w:right w:val="single" w:sz="4" w:space="0" w:color="000000"/>
            </w:tcBorders>
            <w:shd w:val="clear" w:color="auto" w:fill="E8E8E8"/>
            <w:tcMar>
              <w:top w:w="80" w:type="dxa"/>
              <w:left w:w="80" w:type="dxa"/>
              <w:bottom w:w="80" w:type="dxa"/>
              <w:right w:w="80" w:type="dxa"/>
            </w:tcMar>
          </w:tcPr>
          <w:p w14:paraId="4152E746" w14:textId="77777777" w:rsidR="00FF4F00" w:rsidRDefault="00794277">
            <w:r>
              <w:rPr>
                <w:b/>
                <w:sz w:val="14"/>
              </w:rPr>
              <w:t>(i) Pre-specified confounding factors</w:t>
            </w:r>
          </w:p>
        </w:tc>
      </w:tr>
      <w:tr w:rsidR="00FF4F00" w14:paraId="6C89E3EB"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E94B7" w14:textId="77777777" w:rsidR="00FF4F00" w:rsidRDefault="00794277">
            <w:r>
              <w:rPr>
                <w:sz w:val="14"/>
              </w:rPr>
              <w:t>Severity score</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C073F" w14:textId="77777777" w:rsidR="00FF4F00" w:rsidRDefault="00794277">
            <w:r>
              <w:rPr>
                <w:sz w:val="14"/>
              </w:rPr>
              <w:t>PRISM score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DEE2C4"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E3BBD" w14:textId="77777777" w:rsidR="00FF4F00" w:rsidRDefault="00794277">
            <w:r>
              <w:rPr>
                <w:sz w:val="14"/>
              </w:rPr>
              <w:t>PY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6A6E3"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D3B84"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103C2" w14:textId="77777777" w:rsidR="00FF4F00" w:rsidRDefault="00FF4F00"/>
        </w:tc>
      </w:tr>
      <w:tr w:rsidR="00FF4F00" w14:paraId="06E3C3FA"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9A24A" w14:textId="77777777" w:rsidR="00FF4F00" w:rsidRDefault="00794277">
            <w:r>
              <w:rPr>
                <w:sz w:val="14"/>
              </w:rPr>
              <w:t>Primary admission</w:t>
            </w:r>
            <w:r>
              <w:rPr>
                <w:sz w:val="14"/>
              </w:rPr>
              <w:br/>
              <w:t>diagnosis</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3A45D"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52F18"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FC909C"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45F95"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37F5D" w14:textId="77777777" w:rsidR="00FF4F00" w:rsidRDefault="00794277">
            <w:r>
              <w:rPr>
                <w:sz w:val="14"/>
              </w:rPr>
              <w:t>Unpredictable</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A0161" w14:textId="77777777" w:rsidR="00FF4F00" w:rsidRDefault="00FF4F00"/>
        </w:tc>
      </w:tr>
      <w:tr w:rsidR="00FF4F00" w14:paraId="623138C3"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E20A36" w14:textId="77777777" w:rsidR="00FF4F00" w:rsidRDefault="00794277">
            <w:r>
              <w:rPr>
                <w:sz w:val="14"/>
              </w:rPr>
              <w:t>History of GI bleeding</w:t>
            </w:r>
            <w:r>
              <w:rPr>
                <w:sz w:val="14"/>
              </w:rPr>
              <w:br/>
              <w:t>prior to admission</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AEA2E3"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BE69C"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BACA29"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A586B"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ECC54" w14:textId="77777777" w:rsidR="00FF4F00" w:rsidRDefault="00794277">
            <w:r>
              <w:rPr>
                <w:sz w:val="14"/>
              </w:rPr>
              <w:t>Unpredictable</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01629F" w14:textId="77777777" w:rsidR="00FF4F00" w:rsidRDefault="00794277">
            <w:r>
              <w:rPr>
                <w:sz w:val="14"/>
              </w:rPr>
              <w:t>Associated with PPI use; unclear independent effect on mortality</w:t>
            </w:r>
          </w:p>
        </w:tc>
      </w:tr>
      <w:tr w:rsidR="00FF4F00" w14:paraId="06B0FF40"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5B8A3A" w14:textId="77777777" w:rsidR="00FF4F00" w:rsidRDefault="00794277">
            <w:r>
              <w:rPr>
                <w:sz w:val="14"/>
              </w:rPr>
              <w:t>Use of mechanical</w:t>
            </w:r>
            <w:r>
              <w:rPr>
                <w:sz w:val="14"/>
              </w:rPr>
              <w:br/>
              <w:t>ventilation</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D2906F" w14:textId="77777777" w:rsidR="00FF4F00" w:rsidRDefault="00794277">
            <w:r>
              <w:rPr>
                <w:sz w:val="14"/>
              </w:rPr>
              <w:t>MV + PRISM</w:t>
            </w:r>
            <w:r>
              <w:rPr>
                <w:sz w:val="14"/>
              </w:rPr>
              <w:br/>
              <w:t>(proxy)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BE975"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82684" w14:textId="77777777" w:rsidR="00FF4F00" w:rsidRDefault="00794277">
            <w:r>
              <w:rPr>
                <w:sz w:val="14"/>
              </w:rPr>
              <w:t>PY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A56EB"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553B5A"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DE8F" w14:textId="77777777" w:rsidR="00FF4F00" w:rsidRDefault="00FF4F00"/>
        </w:tc>
      </w:tr>
      <w:tr w:rsidR="00FF4F00" w14:paraId="405ABEBA"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CF1EC" w14:textId="77777777" w:rsidR="00FF4F00" w:rsidRDefault="00794277">
            <w:r>
              <w:rPr>
                <w:sz w:val="14"/>
              </w:rPr>
              <w:t>Use of kidney</w:t>
            </w:r>
            <w:r>
              <w:rPr>
                <w:sz w:val="14"/>
              </w:rPr>
              <w:br/>
              <w:t>replacement therapy</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19C2FF" w14:textId="77777777" w:rsidR="00FF4F00" w:rsidRDefault="00794277">
            <w:r>
              <w:rPr>
                <w:sz w:val="14"/>
              </w:rPr>
              <w:t>PRISM score</w:t>
            </w:r>
            <w:r>
              <w:rPr>
                <w:sz w:val="14"/>
              </w:rPr>
              <w:br/>
              <w:t>(proxy only)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AAFCB"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16BBA9" w14:textId="77777777" w:rsidR="00FF4F00" w:rsidRDefault="00794277">
            <w:r>
              <w:rPr>
                <w:sz w:val="14"/>
              </w:rPr>
              <w:t>PN</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A3615"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69AEDB" w14:textId="77777777" w:rsidR="00FF4F00" w:rsidRDefault="00794277">
            <w:r>
              <w:rPr>
                <w:sz w:val="14"/>
              </w:rPr>
              <w:t>Upward</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5B844" w14:textId="77777777" w:rsidR="00FF4F00" w:rsidRDefault="00794277">
            <w:r>
              <w:rPr>
                <w:sz w:val="14"/>
              </w:rPr>
              <w:t>KRT users more likely to receive PPI and may have higher mortality</w:t>
            </w:r>
          </w:p>
        </w:tc>
      </w:tr>
      <w:tr w:rsidR="00FF4F00" w14:paraId="66E31F46"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53BDFC" w14:textId="77777777" w:rsidR="00FF4F00" w:rsidRDefault="00794277">
            <w:r>
              <w:rPr>
                <w:sz w:val="14"/>
              </w:rPr>
              <w:t>Use of ECMO</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AC5346"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037F78"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DECAA"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D404D"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889E44" w14:textId="77777777" w:rsidR="00FF4F00" w:rsidRDefault="00794277">
            <w:r>
              <w:rPr>
                <w:sz w:val="14"/>
              </w:rPr>
              <w:t>Upward</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C7DCF" w14:textId="77777777" w:rsidR="00FF4F00" w:rsidRDefault="00794277">
            <w:r>
              <w:rPr>
                <w:sz w:val="14"/>
              </w:rPr>
              <w:t>ECMO users more likely to receive PPI and have higher mortality</w:t>
            </w:r>
          </w:p>
        </w:tc>
      </w:tr>
      <w:tr w:rsidR="00FF4F00" w14:paraId="4062047A"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33BFA9" w14:textId="77777777" w:rsidR="00FF4F00" w:rsidRDefault="00794277">
            <w:r>
              <w:rPr>
                <w:sz w:val="14"/>
              </w:rPr>
              <w:t>Shock / vasoactive or</w:t>
            </w:r>
            <w:r>
              <w:rPr>
                <w:sz w:val="14"/>
              </w:rPr>
              <w:br/>
              <w:t>inotropic agents</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C7A35" w14:textId="77777777" w:rsidR="00FF4F00" w:rsidRDefault="00794277">
            <w:r>
              <w:rPr>
                <w:sz w:val="14"/>
              </w:rPr>
              <w:t>PRISM score</w:t>
            </w:r>
            <w:r>
              <w:rPr>
                <w:sz w:val="14"/>
              </w:rPr>
              <w:br/>
              <w:t>(proxy only)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F9057E"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47C20" w14:textId="77777777" w:rsidR="00FF4F00" w:rsidRDefault="00794277">
            <w:r>
              <w:rPr>
                <w:sz w:val="14"/>
              </w:rPr>
              <w:t>PN</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AD129"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6DD59" w14:textId="77777777" w:rsidR="00FF4F00" w:rsidRDefault="00794277">
            <w:r>
              <w:rPr>
                <w:sz w:val="14"/>
              </w:rPr>
              <w:t>Unpredictable</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675CE" w14:textId="77777777" w:rsidR="00FF4F00" w:rsidRDefault="00FF4F00"/>
        </w:tc>
      </w:tr>
      <w:tr w:rsidR="00FF4F00" w14:paraId="483F3C60"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28F58" w14:textId="77777777" w:rsidR="00FF4F00" w:rsidRDefault="00794277">
            <w:r>
              <w:rPr>
                <w:sz w:val="14"/>
              </w:rPr>
              <w:t>Use of systemic steroids</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1E055"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181404"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C4B01A"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49655" w14:textId="77777777" w:rsidR="00FF4F00" w:rsidRDefault="00794277">
            <w:r>
              <w:rPr>
                <w:sz w:val="14"/>
              </w:rPr>
              <w:t>PY</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82042"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6A54AC" w14:textId="77777777" w:rsidR="00FF4F00" w:rsidRDefault="00FF4F00"/>
        </w:tc>
      </w:tr>
      <w:tr w:rsidR="00FF4F00" w14:paraId="5EBDC9BA"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C0C50" w14:textId="77777777" w:rsidR="00FF4F00" w:rsidRDefault="00794277">
            <w:r>
              <w:rPr>
                <w:sz w:val="14"/>
              </w:rPr>
              <w:t>Use of NSAIDs</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11FF2"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35A50"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C68E8"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216ED0" w14:textId="77777777" w:rsidR="00FF4F00" w:rsidRDefault="00794277">
            <w:r>
              <w:rPr>
                <w:sz w:val="14"/>
              </w:rPr>
              <w:t>PY</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4F5EE"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B9988" w14:textId="77777777" w:rsidR="00FF4F00" w:rsidRDefault="00FF4F00"/>
        </w:tc>
      </w:tr>
      <w:tr w:rsidR="00FF4F00" w14:paraId="7461F334"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0BDD0" w14:textId="77777777" w:rsidR="00FF4F00" w:rsidRDefault="00794277">
            <w:r>
              <w:rPr>
                <w:sz w:val="14"/>
              </w:rPr>
              <w:t>Coagulopathy</w:t>
            </w:r>
            <w:r>
              <w:rPr>
                <w:sz w:val="14"/>
              </w:rPr>
              <w:br/>
              <w:t>(platelets, APTT, PT)</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AE94D9" w14:textId="77777777" w:rsidR="00FF4F00" w:rsidRDefault="00794277">
            <w:r>
              <w:rPr>
                <w:sz w:val="14"/>
              </w:rPr>
              <w:t>None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14330" w14:textId="77777777" w:rsidR="00FF4F00" w:rsidRDefault="00794277">
            <w:r>
              <w:rPr>
                <w:sz w:val="14"/>
              </w:rPr>
              <w:t>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B7A1B" w14:textId="77777777" w:rsidR="00FF4F00" w:rsidRDefault="00794277">
            <w:r>
              <w:rPr>
                <w:sz w:val="14"/>
              </w:rPr>
              <w:t>NA</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82669" w14:textId="77777777" w:rsidR="00FF4F00" w:rsidRDefault="00794277">
            <w:r>
              <w:rPr>
                <w:sz w:val="14"/>
              </w:rPr>
              <w:t>N</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68AB9" w14:textId="77777777" w:rsidR="00FF4F00" w:rsidRDefault="00794277">
            <w:r>
              <w:rPr>
                <w:sz w:val="14"/>
              </w:rPr>
              <w:t>Upward</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4A95B" w14:textId="77777777" w:rsidR="00FF4F00" w:rsidRDefault="00794277">
            <w:r>
              <w:rPr>
                <w:sz w:val="14"/>
              </w:rPr>
              <w:t>Patients with coagulopathy more likely to receive PPI; may have higher mortality</w:t>
            </w:r>
          </w:p>
        </w:tc>
      </w:tr>
      <w:tr w:rsidR="00FF4F00" w14:paraId="04994548" w14:textId="77777777">
        <w:tc>
          <w:tcPr>
            <w:tcW w:w="8640" w:type="dxa"/>
            <w:gridSpan w:val="7"/>
            <w:tcBorders>
              <w:top w:val="single" w:sz="4" w:space="0" w:color="000000"/>
              <w:left w:val="single" w:sz="4" w:space="0" w:color="000000"/>
              <w:bottom w:val="single" w:sz="4" w:space="0" w:color="000000"/>
              <w:right w:val="single" w:sz="4" w:space="0" w:color="000000"/>
            </w:tcBorders>
            <w:shd w:val="clear" w:color="auto" w:fill="E8E8E8"/>
            <w:tcMar>
              <w:top w:w="80" w:type="dxa"/>
              <w:left w:w="80" w:type="dxa"/>
              <w:bottom w:w="80" w:type="dxa"/>
              <w:right w:w="80" w:type="dxa"/>
            </w:tcMar>
          </w:tcPr>
          <w:p w14:paraId="6CBC085A" w14:textId="77777777" w:rsidR="00FF4F00" w:rsidRDefault="00794277">
            <w:r>
              <w:rPr>
                <w:b/>
                <w:sz w:val="14"/>
              </w:rPr>
              <w:t>(ii) Additional confounding factors (propensity score matching variables)</w:t>
            </w:r>
          </w:p>
        </w:tc>
      </w:tr>
      <w:tr w:rsidR="00FF4F00" w14:paraId="4F882750"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393E1" w14:textId="77777777" w:rsidR="00FF4F00" w:rsidRDefault="00794277">
            <w:r>
              <w:rPr>
                <w:sz w:val="14"/>
              </w:rPr>
              <w:t>Sex</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CE579" w14:textId="77777777" w:rsidR="00FF4F00" w:rsidRDefault="00794277">
            <w:r>
              <w:rPr>
                <w:sz w:val="14"/>
              </w:rPr>
              <w:t>Sex</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C186B"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182F5"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9D2C8"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8446E"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E620E1" w14:textId="77777777" w:rsidR="00FF4F00" w:rsidRDefault="00FF4F00"/>
        </w:tc>
      </w:tr>
      <w:tr w:rsidR="00FF4F00" w14:paraId="7B43D846"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58FE28" w14:textId="77777777" w:rsidR="00FF4F00" w:rsidRDefault="00794277">
            <w:r>
              <w:rPr>
                <w:sz w:val="14"/>
              </w:rPr>
              <w:t>Age</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B130F" w14:textId="77777777" w:rsidR="00FF4F00" w:rsidRDefault="00794277">
            <w:r>
              <w:rPr>
                <w:sz w:val="14"/>
              </w:rPr>
              <w:t>Age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6E7B6"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E412FA"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B8BCD7"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314A89"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056015" w14:textId="77777777" w:rsidR="00FF4F00" w:rsidRDefault="00FF4F00"/>
        </w:tc>
      </w:tr>
      <w:tr w:rsidR="00FF4F00" w14:paraId="135CDCD6"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CDCAE" w14:textId="77777777" w:rsidR="00FF4F00" w:rsidRDefault="00794277">
            <w:r>
              <w:rPr>
                <w:sz w:val="14"/>
              </w:rPr>
              <w:t>History of prematurity</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AE4BC" w14:textId="77777777" w:rsidR="00FF4F00" w:rsidRDefault="00794277">
            <w:r>
              <w:rPr>
                <w:sz w:val="14"/>
              </w:rPr>
              <w:t>History of prematurity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6054B"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5F7F8"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6CA3E"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9B4F7"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05F17" w14:textId="77777777" w:rsidR="00FF4F00" w:rsidRDefault="00FF4F00"/>
        </w:tc>
      </w:tr>
      <w:tr w:rsidR="00FF4F00" w14:paraId="1B0EE50F"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0AB4C" w14:textId="77777777" w:rsidR="00FF4F00" w:rsidRDefault="00794277">
            <w:r>
              <w:rPr>
                <w:sz w:val="14"/>
              </w:rPr>
              <w:t>Surgery</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86D3C" w14:textId="77777777" w:rsidR="00FF4F00" w:rsidRDefault="00794277">
            <w:r>
              <w:rPr>
                <w:sz w:val="14"/>
              </w:rPr>
              <w:t>Surgery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535C8E"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12918C"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67928"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2D070"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4361E2" w14:textId="77777777" w:rsidR="00FF4F00" w:rsidRDefault="00FF4F00"/>
        </w:tc>
      </w:tr>
      <w:tr w:rsidR="00FF4F00" w14:paraId="6FC845DB"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62EA4" w14:textId="77777777" w:rsidR="00FF4F00" w:rsidRDefault="00794277">
            <w:r>
              <w:rPr>
                <w:sz w:val="14"/>
              </w:rPr>
              <w:lastRenderedPageBreak/>
              <w:t>Immunosuppression</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81A47" w14:textId="77777777" w:rsidR="00FF4F00" w:rsidRDefault="00794277">
            <w:r>
              <w:rPr>
                <w:sz w:val="14"/>
              </w:rPr>
              <w:t>Immunosuppression</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4E153"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84E439"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44BF5"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52B16C"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6D57A6" w14:textId="77777777" w:rsidR="00FF4F00" w:rsidRDefault="00FF4F00"/>
        </w:tc>
      </w:tr>
      <w:tr w:rsidR="00FF4F00" w14:paraId="2C452D27"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2CD87E" w14:textId="77777777" w:rsidR="00FF4F00" w:rsidRDefault="00794277">
            <w:r>
              <w:rPr>
                <w:sz w:val="14"/>
              </w:rPr>
              <w:t>Central venous catheter</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A5661" w14:textId="77777777" w:rsidR="00FF4F00" w:rsidRDefault="00794277">
            <w:r>
              <w:rPr>
                <w:sz w:val="14"/>
              </w:rPr>
              <w:t>Central venous catheter</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0A3C6"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7C948"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E1ADA3"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F484B"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52550" w14:textId="77777777" w:rsidR="00FF4F00" w:rsidRDefault="00FF4F00"/>
        </w:tc>
      </w:tr>
      <w:tr w:rsidR="00FF4F00" w14:paraId="2750D8C5"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208C2" w14:textId="77777777" w:rsidR="00FF4F00" w:rsidRDefault="00794277">
            <w:r>
              <w:rPr>
                <w:sz w:val="14"/>
              </w:rPr>
              <w:t>Bladder catheter</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76E148" w14:textId="77777777" w:rsidR="00FF4F00" w:rsidRDefault="00794277">
            <w:r>
              <w:rPr>
                <w:sz w:val="14"/>
              </w:rPr>
              <w:t>Bladder catheter</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D42B9"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59C8D"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3DC43"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5C6BE"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16AE" w14:textId="77777777" w:rsidR="00FF4F00" w:rsidRDefault="00FF4F00"/>
        </w:tc>
      </w:tr>
      <w:tr w:rsidR="00FF4F00" w14:paraId="003B88EF" w14:textId="77777777">
        <w:tc>
          <w:tcPr>
            <w:tcW w:w="18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8C2F3" w14:textId="77777777" w:rsidR="00FF4F00" w:rsidRDefault="00794277">
            <w:r>
              <w:rPr>
                <w:sz w:val="14"/>
              </w:rPr>
              <w:t>PICU LOS before</w:t>
            </w:r>
            <w:r>
              <w:rPr>
                <w:sz w:val="14"/>
              </w:rPr>
              <w:br/>
              <w:t>nosocomial infection</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BC5C2" w14:textId="77777777" w:rsidR="00FF4F00" w:rsidRDefault="00794277">
            <w:r>
              <w:rPr>
                <w:sz w:val="14"/>
              </w:rPr>
              <w:t>PICU LOS before NI</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5E8962" w14:textId="77777777" w:rsidR="00FF4F00" w:rsidRDefault="00794277">
            <w:r>
              <w:rPr>
                <w:sz w:val="14"/>
              </w:rPr>
              <w:t>Y</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C92947" w14:textId="77777777" w:rsidR="00FF4F00" w:rsidRDefault="00794277">
            <w:r>
              <w:rPr>
                <w:sz w:val="14"/>
              </w:rPr>
              <w:t>Y</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156DE" w14:textId="77777777" w:rsidR="00FF4F00" w:rsidRDefault="00794277">
            <w:r>
              <w:rPr>
                <w:sz w:val="14"/>
              </w:rPr>
              <w:t>NA</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AE66D3" w14:textId="77777777" w:rsidR="00FF4F00" w:rsidRDefault="00794277">
            <w:r>
              <w:rPr>
                <w:sz w:val="14"/>
              </w:rPr>
              <w:t>—</w:t>
            </w:r>
          </w:p>
        </w:tc>
        <w:tc>
          <w:tcPr>
            <w:tcW w:w="2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BA73D" w14:textId="77777777" w:rsidR="00FF4F00" w:rsidRDefault="00794277">
            <w:r>
              <w:rPr>
                <w:sz w:val="14"/>
              </w:rPr>
              <w:t>Post-intervention variable; see Domain 3</w:t>
            </w:r>
          </w:p>
        </w:tc>
      </w:tr>
    </w:tbl>
    <w:p w14:paraId="0700EE07" w14:textId="77777777" w:rsidR="00FF4F00" w:rsidRDefault="00794277">
      <w:pPr>
        <w:spacing w:before="80" w:after="120"/>
      </w:pPr>
      <w:r>
        <w:t>Abbreviations: APTT, activated partial thromboplastin time; ECMO, extracorporeal membrane oxygenation; GI, gastrointestinal; KRT, kidney replacement therapy; LOS, length of stay; MV, mechanical ventilation; NA, not applicable; NI, nosocomial infection; NSAID, non-steroidal anti-inflammatory drug; PICU, pediatric intensive care unit; PN, probably no; PPI, proton pump inhibitor; PRISM, Pediatric Risk of Mortality score; PT, prothrombin time; PY, probably yes; Y, yes; N, no.</w:t>
      </w:r>
    </w:p>
    <w:p w14:paraId="49B834AC" w14:textId="77777777" w:rsidR="00FF4F00" w:rsidRDefault="00794277">
      <w:pPr>
        <w:spacing w:after="40"/>
      </w:pPr>
      <w:r>
        <w:rPr>
          <w:b/>
        </w:rPr>
        <w:t>Domain 2: Bias in Classification of Interventions</w:t>
      </w:r>
    </w:p>
    <w:p w14:paraId="3AC98032" w14:textId="77777777" w:rsidR="00FF4F00" w:rsidRDefault="00794277">
      <w:pPr>
        <w:spacing w:after="40"/>
      </w:pPr>
      <w:r>
        <w:rPr>
          <w:i/>
        </w:rPr>
        <w:t>Judgment: Critical risk</w:t>
      </w:r>
    </w:p>
    <w:p w14:paraId="5F47C0EC" w14:textId="77777777" w:rsidR="00FF4F00" w:rsidRDefault="00794277">
      <w:pPr>
        <w:spacing w:after="120"/>
      </w:pPr>
      <w:r>
        <w:t>The intervention strategies were not distinguishable at the time follow-up would have started in the target trial (ICU admission; SQ 2.1: No), because PPI exposure status was determined retrospectively during the PICU stay rather than at admission. Early deaths could therefore not be reliably classified by intervention status (SQ 2.2: Probably No), and the analysis did not address this problem (SQ 2.3: No). Although outcome ascertainment (death) and intervention classification (chart-based) were largely objective and unlikely to be biased by knowledge of the outcome (SQ 2.4: Probably No), the timing, frequency, and duration of PPI administration were not fully documented in the electronic medical records, introducing the possibility of further non-differential misclassification (SQ 2.5: Probably Yes). Domain 2 was rated as critical risk of bias.</w:t>
      </w:r>
    </w:p>
    <w:p w14:paraId="5EC117DE" w14:textId="77777777" w:rsidR="00FF4F00" w:rsidRDefault="00794277">
      <w:pPr>
        <w:spacing w:after="40"/>
      </w:pPr>
      <w:r>
        <w:rPr>
          <w:b/>
        </w:rPr>
        <w:t>Domain 3: Bias due to Selection of Participants</w:t>
      </w:r>
    </w:p>
    <w:p w14:paraId="30BD7C56" w14:textId="77777777" w:rsidR="00FF4F00" w:rsidRDefault="00794277">
      <w:pPr>
        <w:spacing w:after="40"/>
      </w:pPr>
      <w:r>
        <w:rPr>
          <w:i/>
        </w:rPr>
        <w:t>Judgment: Critical risk</w:t>
      </w:r>
    </w:p>
    <w:p w14:paraId="7057BD2A" w14:textId="77777777" w:rsidR="00FF4F00" w:rsidRDefault="00794277">
      <w:pPr>
        <w:spacing w:after="120"/>
      </w:pPr>
      <w:r>
        <w:t>Follow-up in the target trial would begin at ICU admission; however, this study excluded patients who died within the first 48 hours (SQ 3.1: Seriously No), introducing immortal time bias. Furthermore, PICU length of stay prior to nosocomial infection was included as a propensity score matching variable (SQ 3.3: Yes), which is a post-intervention characteristic: longer PICU stay increases the likelihood of PPI exposure (SQ 3.4: Probably Yes), and PICU length of stay is strongly influenced by illness severity, itself a direct cause of mortality (SQ 3.5: Probably Yes). The analysis did not correct for these selection biases (SQ 3.6: No), and no sensitivity analysis was conducted for the mortality outcome (SQ 3.7: No). These biases were considered sufficiently severe that the result should not be included in quantitative synthesis (SQ 3.8: Probably Yes). Domain 3 was rated as critical risk of bias.</w:t>
      </w:r>
    </w:p>
    <w:p w14:paraId="7100F0DC" w14:textId="77777777" w:rsidR="00FF4F00" w:rsidRDefault="00794277">
      <w:pPr>
        <w:spacing w:after="40"/>
      </w:pPr>
      <w:r>
        <w:rPr>
          <w:b/>
        </w:rPr>
        <w:t>Domain 4: Bias due to Missing Data</w:t>
      </w:r>
    </w:p>
    <w:p w14:paraId="4C252AD2" w14:textId="77777777" w:rsidR="00FF4F00" w:rsidRDefault="00794277">
      <w:pPr>
        <w:spacing w:after="40"/>
      </w:pPr>
      <w:r>
        <w:rPr>
          <w:i/>
        </w:rPr>
        <w:t>Judgment: Low risk</w:t>
      </w:r>
    </w:p>
    <w:p w14:paraId="48E8A0B7" w14:textId="77777777" w:rsidR="00FF4F00" w:rsidRDefault="00794277">
      <w:pPr>
        <w:spacing w:after="120"/>
      </w:pPr>
      <w:r>
        <w:t>Complete data on intervention status (SQ 4.1: Yes), the outcome (SQ 4.2: Yes), and all confounding variables included in the analysis (SQ 4.3: Yes) were available for all or nearly all participants. Domain 4 was rated as low risk of bias.</w:t>
      </w:r>
    </w:p>
    <w:p w14:paraId="1F6A71F0" w14:textId="77777777" w:rsidR="00FF4F00" w:rsidRDefault="00794277">
      <w:pPr>
        <w:spacing w:after="40"/>
      </w:pPr>
      <w:r>
        <w:rPr>
          <w:b/>
        </w:rPr>
        <w:t>Domain 5: Bias in Measurement of Outcomes</w:t>
      </w:r>
    </w:p>
    <w:p w14:paraId="51A1B56A" w14:textId="77777777" w:rsidR="00FF4F00" w:rsidRDefault="00794277">
      <w:pPr>
        <w:spacing w:after="40"/>
      </w:pPr>
      <w:r>
        <w:rPr>
          <w:i/>
        </w:rPr>
        <w:t>Judgment: Low risk</w:t>
      </w:r>
    </w:p>
    <w:p w14:paraId="43B98A4F" w14:textId="77777777" w:rsidR="00FF4F00" w:rsidRDefault="00794277">
      <w:pPr>
        <w:spacing w:after="120"/>
      </w:pPr>
      <w:r>
        <w:t xml:space="preserve">Outcome measurement could not have differed between intervention groups (SQ 5.1: No), as death is an objective endpoint. Although outcome assessors were probably aware of the intervention received given the retrospective chart-based design (SQ 5.2: Probably Yes), assessment of mortality could not </w:t>
      </w:r>
      <w:r>
        <w:lastRenderedPageBreak/>
        <w:t>plausibly have been influenced by this knowledge (SQ 5.3: No). Domain 5 was rated as low risk of bias.</w:t>
      </w:r>
    </w:p>
    <w:p w14:paraId="3FFBDAA1" w14:textId="77777777" w:rsidR="00FF4F00" w:rsidRDefault="00794277">
      <w:pPr>
        <w:spacing w:after="40"/>
      </w:pPr>
      <w:r>
        <w:rPr>
          <w:b/>
        </w:rPr>
        <w:t>Domain 6: Bias in Selection of the Reported Result</w:t>
      </w:r>
    </w:p>
    <w:p w14:paraId="3BFF3BD7" w14:textId="77777777" w:rsidR="00FF4F00" w:rsidRDefault="00794277">
      <w:pPr>
        <w:spacing w:after="40"/>
      </w:pPr>
      <w:r>
        <w:rPr>
          <w:i/>
        </w:rPr>
        <w:t>Judgment: Serious risk</w:t>
      </w:r>
    </w:p>
    <w:p w14:paraId="49A7696B" w14:textId="77777777" w:rsidR="00FF4F00" w:rsidRDefault="00794277">
      <w:pPr>
        <w:spacing w:after="120"/>
      </w:pPr>
      <w:r>
        <w:t>No pre-registered analysis plan was available (SQ 6.1: No information), introducing uncertainty about whether the reported result was selected based on favorable findings. Although death is an objective outcome not subject to measurement discretion (SQ 6.2: No), the absence of a pre-specified analysis plan and uncertainty regarding the selection of reported analyses and subgroups (SQ 6.3: No information; SQ 6.4: No information) warranted a rating of serious risk of bias for Domain 6.</w:t>
      </w:r>
    </w:p>
    <w:p w14:paraId="3683FE32" w14:textId="77777777" w:rsidR="00FF4F00" w:rsidRDefault="00794277">
      <w:pPr>
        <w:spacing w:after="40"/>
      </w:pPr>
      <w:r>
        <w:rPr>
          <w:b/>
        </w:rPr>
        <w:t>Overall Risk of Bias</w:t>
      </w:r>
    </w:p>
    <w:p w14:paraId="00BB9338" w14:textId="77777777" w:rsidR="00FF4F00" w:rsidRDefault="00794277">
      <w:pPr>
        <w:spacing w:after="40"/>
      </w:pPr>
      <w:r>
        <w:rPr>
          <w:i/>
        </w:rPr>
        <w:t>Overall judgment: Critical risk</w:t>
      </w:r>
    </w:p>
    <w:p w14:paraId="370B70A9" w14:textId="77777777" w:rsidR="00FF4F00" w:rsidRDefault="00794277">
      <w:pPr>
        <w:spacing w:after="120"/>
      </w:pPr>
      <w:r>
        <w:t>Due to critical risk of bias in Domain 2 (classification of interventions) and Domain 3 (selection of participants), the overall risk of bias was judged to be critical, and this result was excluded from quantitative synthesis. The serious risk of bias in Domain 1 (confounding) and Domain 6 (selection of reported result) further supports this judgment.</w:t>
      </w:r>
    </w:p>
    <w:p w14:paraId="4CEDC867" w14:textId="77777777" w:rsidR="00FF4F00" w:rsidRDefault="00794277">
      <w:pPr>
        <w:spacing w:before="120" w:after="80"/>
      </w:pPr>
      <w:r>
        <w:rPr>
          <w:i/>
        </w:rPr>
        <w:t>Table 2. Summary of ROBINS-I domain-level judgments: Goyer et al., 2022.</w:t>
      </w:r>
    </w:p>
    <w:tbl>
      <w:tblPr>
        <w:tblStyle w:val="afe"/>
        <w:tblW w:w="0" w:type="auto"/>
        <w:tblLook w:val="04A0" w:firstRow="1" w:lastRow="0" w:firstColumn="1" w:lastColumn="0" w:noHBand="0" w:noVBand="1"/>
      </w:tblPr>
      <w:tblGrid>
        <w:gridCol w:w="1296"/>
        <w:gridCol w:w="5760"/>
        <w:gridCol w:w="1584"/>
      </w:tblGrid>
      <w:tr w:rsidR="00FF4F00" w14:paraId="4DFB1F20" w14:textId="77777777">
        <w:tc>
          <w:tcPr>
            <w:tcW w:w="129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592E07E2" w14:textId="77777777" w:rsidR="00FF4F00" w:rsidRDefault="00794277">
            <w:r>
              <w:rPr>
                <w:b/>
                <w:sz w:val="18"/>
              </w:rPr>
              <w:t>Domain</w:t>
            </w:r>
          </w:p>
        </w:tc>
        <w:tc>
          <w:tcPr>
            <w:tcW w:w="5760"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55F15B97" w14:textId="77777777" w:rsidR="00FF4F00" w:rsidRDefault="00794277">
            <w:r>
              <w:rPr>
                <w:b/>
                <w:sz w:val="18"/>
              </w:rPr>
              <w:t>Description</w:t>
            </w:r>
          </w:p>
        </w:tc>
        <w:tc>
          <w:tcPr>
            <w:tcW w:w="158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27539EAD" w14:textId="77777777" w:rsidR="00FF4F00" w:rsidRDefault="00794277">
            <w:r>
              <w:rPr>
                <w:b/>
                <w:sz w:val="18"/>
              </w:rPr>
              <w:t>Judgment</w:t>
            </w:r>
          </w:p>
        </w:tc>
      </w:tr>
      <w:tr w:rsidR="00FF4F00" w14:paraId="17A6549A"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E5E505" w14:textId="77777777" w:rsidR="00FF4F00" w:rsidRDefault="00794277">
            <w:r>
              <w:rPr>
                <w:sz w:val="18"/>
              </w:rPr>
              <w:t>Domain 1</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8FB4DA" w14:textId="77777777" w:rsidR="00FF4F00" w:rsidRDefault="00794277">
            <w:r>
              <w:rPr>
                <w:sz w:val="18"/>
              </w:rPr>
              <w:t>Bias due to confounding</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9E656" w14:textId="77777777" w:rsidR="00FF4F00" w:rsidRDefault="00794277">
            <w:r>
              <w:rPr>
                <w:sz w:val="18"/>
              </w:rPr>
              <w:t>Serious risk</w:t>
            </w:r>
          </w:p>
        </w:tc>
      </w:tr>
      <w:tr w:rsidR="00FF4F00" w14:paraId="0637E5B5"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845E0" w14:textId="77777777" w:rsidR="00FF4F00" w:rsidRDefault="00794277">
            <w:r>
              <w:rPr>
                <w:sz w:val="18"/>
              </w:rPr>
              <w:t>Domain 2</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D897A" w14:textId="77777777" w:rsidR="00FF4F00" w:rsidRDefault="00794277">
            <w:r>
              <w:rPr>
                <w:sz w:val="18"/>
              </w:rPr>
              <w:t>Bias in classification of interventions</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FE4C3" w14:textId="77777777" w:rsidR="00FF4F00" w:rsidRDefault="00794277">
            <w:r>
              <w:rPr>
                <w:sz w:val="18"/>
              </w:rPr>
              <w:t>Critical risk</w:t>
            </w:r>
          </w:p>
        </w:tc>
      </w:tr>
      <w:tr w:rsidR="00FF4F00" w14:paraId="585CB4F4"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41491" w14:textId="77777777" w:rsidR="00FF4F00" w:rsidRDefault="00794277">
            <w:r>
              <w:rPr>
                <w:sz w:val="18"/>
              </w:rPr>
              <w:t>Domain 3</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5C0E9" w14:textId="77777777" w:rsidR="00FF4F00" w:rsidRDefault="00794277">
            <w:r>
              <w:rPr>
                <w:sz w:val="18"/>
              </w:rPr>
              <w:t>Bias due to selection of participants</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69A5D" w14:textId="77777777" w:rsidR="00FF4F00" w:rsidRDefault="00794277">
            <w:r>
              <w:rPr>
                <w:sz w:val="18"/>
              </w:rPr>
              <w:t>Critical risk</w:t>
            </w:r>
          </w:p>
        </w:tc>
      </w:tr>
      <w:tr w:rsidR="00FF4F00" w14:paraId="099BFC90"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6E64E" w14:textId="77777777" w:rsidR="00FF4F00" w:rsidRDefault="00794277">
            <w:r>
              <w:rPr>
                <w:sz w:val="18"/>
              </w:rPr>
              <w:t>Domain 4</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E2D3A" w14:textId="77777777" w:rsidR="00FF4F00" w:rsidRDefault="00794277">
            <w:r>
              <w:rPr>
                <w:sz w:val="18"/>
              </w:rPr>
              <w:t>Bias due to missing data</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A03AF" w14:textId="77777777" w:rsidR="00FF4F00" w:rsidRDefault="00794277">
            <w:r>
              <w:rPr>
                <w:sz w:val="18"/>
              </w:rPr>
              <w:t>Low risk</w:t>
            </w:r>
          </w:p>
        </w:tc>
      </w:tr>
      <w:tr w:rsidR="00FF4F00" w14:paraId="1847D2A9"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34C554" w14:textId="77777777" w:rsidR="00FF4F00" w:rsidRDefault="00794277">
            <w:r>
              <w:rPr>
                <w:sz w:val="18"/>
              </w:rPr>
              <w:t>Domain 5</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30E02" w14:textId="77777777" w:rsidR="00FF4F00" w:rsidRDefault="00794277">
            <w:r>
              <w:rPr>
                <w:sz w:val="18"/>
              </w:rPr>
              <w:t>Bias in measurement of outcomes</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D3FDE" w14:textId="77777777" w:rsidR="00FF4F00" w:rsidRDefault="00794277">
            <w:r>
              <w:rPr>
                <w:sz w:val="18"/>
              </w:rPr>
              <w:t>Low risk</w:t>
            </w:r>
          </w:p>
        </w:tc>
      </w:tr>
      <w:tr w:rsidR="00FF4F00" w14:paraId="63290320"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695AEA" w14:textId="77777777" w:rsidR="00FF4F00" w:rsidRDefault="00794277">
            <w:r>
              <w:rPr>
                <w:sz w:val="18"/>
              </w:rPr>
              <w:t>Domain 6</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D17B5A" w14:textId="77777777" w:rsidR="00FF4F00" w:rsidRDefault="00794277">
            <w:r>
              <w:rPr>
                <w:sz w:val="18"/>
              </w:rPr>
              <w:t>Bias in selection of the reported result</w:t>
            </w:r>
          </w:p>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761C51" w14:textId="77777777" w:rsidR="00FF4F00" w:rsidRDefault="00794277">
            <w:r>
              <w:rPr>
                <w:sz w:val="18"/>
              </w:rPr>
              <w:t>Serious risk</w:t>
            </w:r>
          </w:p>
        </w:tc>
      </w:tr>
      <w:tr w:rsidR="00FF4F00" w14:paraId="213D2479" w14:textId="77777777">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9C934" w14:textId="77777777" w:rsidR="00FF4F00" w:rsidRDefault="00794277">
            <w:r>
              <w:rPr>
                <w:sz w:val="18"/>
              </w:rPr>
              <w:t>Overall</w:t>
            </w:r>
          </w:p>
        </w:tc>
        <w:tc>
          <w:tcPr>
            <w:tcW w:w="57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89CEA" w14:textId="77777777" w:rsidR="00FF4F00" w:rsidRDefault="00FF4F00"/>
        </w:tc>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88B2B9" w14:textId="77777777" w:rsidR="00FF4F00" w:rsidRDefault="00794277">
            <w:r>
              <w:rPr>
                <w:sz w:val="18"/>
              </w:rPr>
              <w:t>Critical risk</w:t>
            </w:r>
          </w:p>
        </w:tc>
      </w:tr>
    </w:tbl>
    <w:p w14:paraId="41ACF173" w14:textId="77777777" w:rsidR="00FF4F00" w:rsidRDefault="00FF4F00">
      <w:pPr>
        <w:spacing w:after="120"/>
      </w:pPr>
    </w:p>
    <w:p w14:paraId="22B7AB29" w14:textId="77777777" w:rsidR="00FF4F00" w:rsidRDefault="00794277">
      <w:pPr>
        <w:spacing w:after="40"/>
      </w:pPr>
      <w:r>
        <w:rPr>
          <w:b/>
        </w:rPr>
        <w:t>4.  Ventilator-Associated Pneumonia (VAP)</w:t>
      </w:r>
    </w:p>
    <w:p w14:paraId="7B2E0A53" w14:textId="77777777" w:rsidR="00FF4F00" w:rsidRDefault="00794277">
      <w:pPr>
        <w:spacing w:after="120"/>
      </w:pPr>
      <w:r>
        <w:t>The following two studies reported VAP outcomes stratified by SUP status:</w:t>
      </w:r>
    </w:p>
    <w:p w14:paraId="304F0877" w14:textId="77777777" w:rsidR="00FF4F00" w:rsidRDefault="00794277">
      <w:pPr>
        <w:pStyle w:val="a0"/>
        <w:spacing w:after="60"/>
      </w:pPr>
      <w:r>
        <w:t>Lopriore et al., 2002</w:t>
      </w:r>
    </w:p>
    <w:p w14:paraId="63048FE0" w14:textId="77777777" w:rsidR="00FF4F00" w:rsidRDefault="00794277">
      <w:pPr>
        <w:pStyle w:val="a0"/>
        <w:spacing w:after="60"/>
      </w:pPr>
      <w:r>
        <w:t>Sochet et al., 2020</w:t>
      </w:r>
    </w:p>
    <w:p w14:paraId="41106BA0" w14:textId="77777777" w:rsidR="00FF4F00" w:rsidRDefault="00794277">
      <w:pPr>
        <w:spacing w:after="40"/>
      </w:pPr>
      <w:r>
        <w:rPr>
          <w:i/>
        </w:rPr>
        <w:t>Triage judgment: Critical risk — both studies</w:t>
      </w:r>
    </w:p>
    <w:p w14:paraId="2DFDBE81" w14:textId="77777777" w:rsidR="00FF4F00" w:rsidRDefault="00794277">
      <w:pPr>
        <w:spacing w:after="120"/>
      </w:pPr>
      <w:r>
        <w:t>Both studies received a “No” response to Part B of the Preliminary Considerations, for the reasons described in Section 1. Furthermore, Lopriore et al. defined VAP using microbiological criteria in a heterogeneous patient population, and Sochet et al. reported zero VAP events in both groups, precluding any meaningful comparative analysis.</w:t>
      </w:r>
    </w:p>
    <w:p w14:paraId="7A822B7C" w14:textId="77777777" w:rsidR="00FF4F00" w:rsidRDefault="00794277">
      <w:r>
        <w:br w:type="page"/>
      </w:r>
    </w:p>
    <w:p w14:paraId="6ECB1EF8" w14:textId="77777777" w:rsidR="00FF4F00" w:rsidRDefault="00794277">
      <w:pPr>
        <w:spacing w:before="360" w:after="120"/>
      </w:pPr>
      <w:r>
        <w:rPr>
          <w:b/>
          <w:sz w:val="26"/>
        </w:rPr>
        <w:lastRenderedPageBreak/>
        <w:t>Appendix 8. Supplemental Results</w:t>
      </w:r>
    </w:p>
    <w:p w14:paraId="33AD39F1" w14:textId="77777777" w:rsidR="00F5185A" w:rsidRDefault="00F5185A">
      <w:pPr>
        <w:spacing w:before="240" w:after="80"/>
        <w:rPr>
          <w:b/>
          <w:i/>
          <w:sz w:val="24"/>
        </w:rPr>
      </w:pPr>
      <w:r>
        <w:rPr>
          <w:b/>
          <w:i/>
          <w:sz w:val="24"/>
        </w:rPr>
        <w:t xml:space="preserve">Study-Specific Data Handling Decisions </w:t>
      </w:r>
    </w:p>
    <w:p w14:paraId="5869CBC3" w14:textId="02BA3BA6" w:rsidR="000C7E02" w:rsidRPr="000C7E02" w:rsidRDefault="000C7E02" w:rsidP="00F5185A">
      <w:pPr>
        <w:spacing w:before="240" w:after="80"/>
        <w:rPr>
          <w:b/>
          <w:bCs/>
          <w:iCs/>
          <w:color w:val="1F497D" w:themeColor="text2"/>
          <w:sz w:val="24"/>
        </w:rPr>
      </w:pPr>
      <w:r>
        <w:rPr>
          <w:rFonts w:hint="eastAsia"/>
          <w:b/>
          <w:bCs/>
          <w:iCs/>
          <w:color w:val="1F497D" w:themeColor="text2"/>
          <w:sz w:val="24"/>
          <w:lang w:eastAsia="ja-JP"/>
        </w:rPr>
        <w:t>1</w:t>
      </w:r>
      <w:r>
        <w:rPr>
          <w:b/>
          <w:bCs/>
          <w:iCs/>
          <w:color w:val="1F497D" w:themeColor="text2"/>
          <w:sz w:val="24"/>
        </w:rPr>
        <w:t>. Eddleston et al. 1989</w:t>
      </w:r>
    </w:p>
    <w:p w14:paraId="48F350CE" w14:textId="4E91FE1F" w:rsidR="000C7E02" w:rsidRDefault="000C7E02" w:rsidP="00F5185A">
      <w:pPr>
        <w:spacing w:before="240" w:after="80"/>
        <w:rPr>
          <w:iCs/>
          <w:sz w:val="24"/>
        </w:rPr>
      </w:pPr>
      <w:r>
        <w:rPr>
          <w:iCs/>
          <w:sz w:val="24"/>
        </w:rPr>
        <w:t>Trial design. Three-arm randomized controlled trial conducted at the Royal Liverpool Children's Hospital, UK. Sixty children aged 6 weeks to 10 years undergoing cardiopulmonary bypass (CPB) for correction of congenital heart defects were randomized to one of three groups: Group A (control, no prophylaxis; n=20), Group B (low-dose ranitidine 0.1 mg/kg/h IV continuous infusion; n=20), or Group C (high-dose ranitidine 0.2 mg/kg/h IV continuous infusion; n=20). The infusion was started at the induction of anesthesia and continued until 24 hours after surgery. Exclusion criteria included a history of atopy or a pulmonary vascular resistance index &gt;5 dyne·sec/cm⁵·m². The primary endpoint was gastric pH and acid output; the presence of blood in the gastric aspirate was a secondary endpoint.</w:t>
      </w:r>
    </w:p>
    <w:p w14:paraId="149947EF" w14:textId="62657F9D" w:rsidR="000C7E02" w:rsidRDefault="000C7E02" w:rsidP="00F5185A">
      <w:pPr>
        <w:spacing w:before="240" w:after="80"/>
        <w:rPr>
          <w:iCs/>
          <w:sz w:val="24"/>
        </w:rPr>
      </w:pPr>
      <w:r>
        <w:rPr>
          <w:rFonts w:hint="eastAsia"/>
          <w:iCs/>
          <w:sz w:val="24"/>
          <w:lang w:eastAsia="ja-JP"/>
        </w:rPr>
        <w:t>1</w:t>
      </w:r>
      <w:r>
        <w:rPr>
          <w:iCs/>
          <w:sz w:val="24"/>
        </w:rPr>
        <w:t xml:space="preserve">.1 Outcome reporting and rationale for exclusion </w:t>
      </w:r>
    </w:p>
    <w:p w14:paraId="1352456A" w14:textId="57B9F92E" w:rsidR="000C7E02" w:rsidRDefault="000C7E02" w:rsidP="00F5185A">
      <w:pPr>
        <w:spacing w:before="240" w:after="80"/>
        <w:rPr>
          <w:iCs/>
          <w:sz w:val="24"/>
        </w:rPr>
      </w:pPr>
      <w:r>
        <w:rPr>
          <w:iCs/>
          <w:sz w:val="24"/>
        </w:rPr>
        <w:t>The trial reported the bleeding endpoint exclusively as the percentage of patients with blood in the gastric aspirate at &lt;3 hours and &gt;3 hours after cessation of CPB.</w:t>
      </w:r>
    </w:p>
    <w:p w14:paraId="7F30A1D6" w14:textId="655B1285" w:rsidR="000C7E02" w:rsidRDefault="000C7E02" w:rsidP="00F5185A">
      <w:pPr>
        <w:spacing w:before="240" w:after="80"/>
        <w:rPr>
          <w:iCs/>
          <w:sz w:val="24"/>
        </w:rPr>
      </w:pPr>
      <w:r>
        <w:rPr>
          <w:iCs/>
          <w:sz w:val="24"/>
        </w:rPr>
        <w:t>The original publication reports these proportions only as percentages, without providing the integer event counts required for meta-analytic pooling. Because each arm enrolled 20 patients, percentage values such as 45%, 55%, 58%, 82%, 90%, and 95% do not all correspond to integer multiples of 5% (1/20 = 5%). For example, 45% would correspond to 9/20, but 58% does not correspond to any integer count out of 20 (closest values: 11/20 = 55%, 12/20 = 60%). The reported percentages therefore appear to reflect either rounding from a different denominator (e.g., excluding patients with missing samples at specific time points) or imprecise reporting, and reliable integer event counts cannot be back-calculated from the published values alone.</w:t>
      </w:r>
    </w:p>
    <w:p w14:paraId="2DE3C8DB" w14:textId="5204586C" w:rsidR="000C7E02" w:rsidRDefault="000C7E02" w:rsidP="00F5185A">
      <w:pPr>
        <w:spacing w:before="240" w:after="80"/>
        <w:rPr>
          <w:iCs/>
          <w:sz w:val="24"/>
        </w:rPr>
      </w:pPr>
      <w:r>
        <w:rPr>
          <w:rFonts w:hint="eastAsia"/>
          <w:iCs/>
          <w:sz w:val="24"/>
          <w:lang w:eastAsia="ja-JP"/>
        </w:rPr>
        <w:t>1</w:t>
      </w:r>
      <w:r>
        <w:rPr>
          <w:iCs/>
          <w:sz w:val="24"/>
        </w:rPr>
        <w:t xml:space="preserve">.2 Decision </w:t>
      </w:r>
    </w:p>
    <w:p w14:paraId="09FC1F77" w14:textId="08846329" w:rsidR="000C7E02" w:rsidRDefault="000C7E02" w:rsidP="00F5185A">
      <w:pPr>
        <w:spacing w:before="240" w:after="80"/>
        <w:rPr>
          <w:iCs/>
          <w:sz w:val="24"/>
          <w:lang w:eastAsia="ja-JP"/>
        </w:rPr>
      </w:pPr>
      <w:r>
        <w:rPr>
          <w:iCs/>
          <w:sz w:val="24"/>
        </w:rPr>
        <w:t>Because reliable arm-level integer event counts could not be derived for either the &lt;3 h or &gt;3 h time point, Eddleston 1989 was excluded from all quantitative syntheses (UGIB, clinically significant gastrointestinal bleeding, mortality, VAP). The trial was retained in the qualitative review and contributed to the narrative synthesis (study characteristics in Supplementary Table 1; risk of bias assessment in Appendix 7). The reported event proportions were directionally consistent with the pooled estimate of no preventive effect of acid-suppressive prophylaxis on bleeding.</w:t>
      </w:r>
    </w:p>
    <w:p w14:paraId="065FC8F2" w14:textId="77777777" w:rsidR="000C7E02" w:rsidRDefault="000C7E02" w:rsidP="00F5185A">
      <w:pPr>
        <w:spacing w:before="240" w:after="80"/>
        <w:rPr>
          <w:iCs/>
          <w:sz w:val="24"/>
          <w:lang w:eastAsia="ja-JP"/>
        </w:rPr>
      </w:pPr>
    </w:p>
    <w:p w14:paraId="63F597F4" w14:textId="0323A84C" w:rsidR="00F5185A" w:rsidRPr="000C7E02" w:rsidRDefault="000C7E02" w:rsidP="00F5185A">
      <w:pPr>
        <w:spacing w:before="240" w:after="80"/>
        <w:rPr>
          <w:b/>
          <w:bCs/>
          <w:iCs/>
          <w:color w:val="1F497D" w:themeColor="text2"/>
          <w:sz w:val="24"/>
        </w:rPr>
      </w:pPr>
      <w:r>
        <w:rPr>
          <w:rFonts w:hint="eastAsia"/>
          <w:b/>
          <w:bCs/>
          <w:iCs/>
          <w:color w:val="1F497D" w:themeColor="text2"/>
          <w:sz w:val="24"/>
          <w:lang w:eastAsia="ja-JP"/>
        </w:rPr>
        <w:t>2</w:t>
      </w:r>
      <w:r>
        <w:rPr>
          <w:b/>
          <w:bCs/>
          <w:iCs/>
          <w:color w:val="1F497D" w:themeColor="text2"/>
          <w:sz w:val="24"/>
        </w:rPr>
        <w:t>. López-Herce et al. 1992</w:t>
      </w:r>
    </w:p>
    <w:p w14:paraId="5FD36120" w14:textId="77777777" w:rsidR="00F5185A" w:rsidRPr="00F5185A" w:rsidRDefault="00F5185A" w:rsidP="00F5185A">
      <w:pPr>
        <w:spacing w:before="240" w:after="80"/>
        <w:rPr>
          <w:iCs/>
          <w:sz w:val="24"/>
        </w:rPr>
      </w:pPr>
      <w:r>
        <w:rPr>
          <w:iCs/>
          <w:sz w:val="24"/>
        </w:rPr>
        <w:lastRenderedPageBreak/>
        <w:t>Trial design. Four-arm randomized controlled trial conducted in a single Spanish PICU, randomizing patients to almagate, ranitidine, sucralfate, or control (no prophylaxis). The trial enrolled 105 patients in the three acid-suppressive arms combined and 35 patients in the control arm.</w:t>
      </w:r>
    </w:p>
    <w:p w14:paraId="4B4201A2" w14:textId="16865B99" w:rsidR="00F5185A" w:rsidRPr="00F5185A" w:rsidRDefault="000C7E02" w:rsidP="00F5185A">
      <w:pPr>
        <w:spacing w:before="240" w:after="80"/>
        <w:rPr>
          <w:iCs/>
          <w:sz w:val="24"/>
        </w:rPr>
      </w:pPr>
      <w:r>
        <w:rPr>
          <w:rFonts w:hint="eastAsia"/>
          <w:iCs/>
          <w:sz w:val="24"/>
          <w:lang w:eastAsia="ja-JP"/>
        </w:rPr>
        <w:t>2</w:t>
      </w:r>
      <w:r>
        <w:rPr>
          <w:iCs/>
          <w:sz w:val="24"/>
        </w:rPr>
        <w:t>.1 Combining of multi-arm intervention groups</w:t>
      </w:r>
    </w:p>
    <w:p w14:paraId="3E458B1A" w14:textId="6A04EAC9" w:rsidR="00F5185A" w:rsidRPr="00F5185A" w:rsidRDefault="001D1692" w:rsidP="00F5185A">
      <w:pPr>
        <w:spacing w:before="240" w:after="80"/>
        <w:rPr>
          <w:iCs/>
          <w:sz w:val="24"/>
        </w:rPr>
      </w:pPr>
      <w:r>
        <w:rPr>
          <w:iCs/>
          <w:sz w:val="24"/>
        </w:rPr>
        <w:t>For the clinically significant gastrointestinal bleeding key secondary analysis, the three acid-suppressive arms (almagate, ranitidine, sucralfate) were combined into a single intervention group (n=105) for comparison against the control arm (n=35). This approach follows Cochrane Handbook Section 23.3.4. The control group was used once and was not split across multiple comparisons. Event counts entered into the clinically significant gastrointestinal bleeding analysis: 6/105 intervention vs. 7/35 control..</w:t>
      </w:r>
    </w:p>
    <w:p w14:paraId="44DD5591" w14:textId="073849B0" w:rsidR="00F5185A" w:rsidRPr="00F5185A" w:rsidRDefault="000C7E02" w:rsidP="00F5185A">
      <w:pPr>
        <w:spacing w:before="240" w:after="80"/>
        <w:rPr>
          <w:iCs/>
          <w:sz w:val="24"/>
        </w:rPr>
      </w:pPr>
      <w:r>
        <w:rPr>
          <w:rFonts w:hint="eastAsia"/>
          <w:iCs/>
          <w:sz w:val="24"/>
          <w:lang w:eastAsia="ja-JP"/>
        </w:rPr>
        <w:t>2</w:t>
      </w:r>
      <w:r>
        <w:rPr>
          <w:iCs/>
          <w:sz w:val="24"/>
        </w:rPr>
        <w:t>.2 Exclusion from UGIB primary analysis and H2RA subgroup analysis***</w:t>
      </w:r>
    </w:p>
    <w:p w14:paraId="3DECF941" w14:textId="4EBD9BD6" w:rsidR="00F5185A" w:rsidRDefault="001D1692" w:rsidP="00F5185A">
      <w:pPr>
        <w:spacing w:before="240" w:after="80"/>
        <w:rPr>
          <w:iCs/>
          <w:sz w:val="24"/>
        </w:rPr>
      </w:pPr>
      <w:r>
        <w:rPr>
          <w:iCs/>
          <w:sz w:val="24"/>
        </w:rPr>
        <w:t>The original trial classified upper gastrointestinal hemorrhage at the patient level into three categories: non</w:t>
      </w:r>
      <w:r>
        <w:rPr>
          <w:rFonts w:hint="eastAsia"/>
          <w:iCs/>
          <w:sz w:val="24"/>
          <w:lang w:eastAsia="ja-JP"/>
        </w:rPr>
        <w:t>-</w:t>
      </w:r>
      <w:r>
        <w:rPr>
          <w:iCs/>
          <w:sz w:val="24"/>
        </w:rPr>
        <w:t>hemorrhage (14.3%), slight (coffee grounds or small amount of red blood without hemodynamic or hematocrit change; 76.4%), and important (hematocrit decrease &gt;15%, transfusion requirement, or hemodynamic compromise; 9.3%). Although the overall frequency of macroscopic UGIH (slight + important) across all 140 randomized patients was 85.7%, **arm-level event counts were reported only for the important hemorrhage category** (control 7/35; almagate 2/35; ranitidine 3/35; sucralfate 1/35; combined intervention arms 6/105). Arm-level event counts for slight hemorrhage alone were not reported in either the main text, tables, or figures, precluding extraction of any UGIB at the group level.</w:t>
      </w:r>
    </w:p>
    <w:p w14:paraId="1B505906" w14:textId="0D05BFBB" w:rsidR="001D1692" w:rsidRDefault="001D1692" w:rsidP="00F5185A">
      <w:pPr>
        <w:spacing w:before="240" w:after="80"/>
        <w:rPr>
          <w:iCs/>
          <w:sz w:val="24"/>
        </w:rPr>
      </w:pPr>
      <w:r>
        <w:rPr>
          <w:iCs/>
          <w:sz w:val="24"/>
        </w:rPr>
        <w:t xml:space="preserve">Because the operational definition of the primary outcome (any UGIB) requires inclusion of slight bleeding events, and because reliable arm-level any UGIB events could not be derived for López-Herce 1992, this trial was excluded from the UGIB primary analysis. By the same rationale, López-Herce 1992 was excluded from the H2RA subgroup analysis (Figure </w:t>
      </w:r>
      <w:r w:rsidR="00A458ED">
        <w:rPr>
          <w:rFonts w:hint="eastAsia"/>
          <w:iCs/>
          <w:sz w:val="24"/>
          <w:lang w:eastAsia="ja-JP"/>
        </w:rPr>
        <w:t>5B</w:t>
      </w:r>
      <w:r>
        <w:rPr>
          <w:iCs/>
          <w:sz w:val="24"/>
        </w:rPr>
        <w:t>), as ranitidine-arm any UGIB events were similarly unavailable. López-Herce 1992 contributed only to the clinically significant gastrointestinal bleeding key secondary analysis.</w:t>
      </w:r>
    </w:p>
    <w:p w14:paraId="466CA85E" w14:textId="77777777" w:rsidR="001D1692" w:rsidRPr="00F5185A" w:rsidRDefault="001D1692" w:rsidP="00F5185A">
      <w:pPr>
        <w:spacing w:before="240" w:after="80"/>
        <w:rPr>
          <w:iCs/>
          <w:sz w:val="24"/>
        </w:rPr>
      </w:pPr>
    </w:p>
    <w:p w14:paraId="4770BE6D" w14:textId="76FFF79D" w:rsidR="00F5185A" w:rsidRPr="000C7E02" w:rsidRDefault="000C7E02" w:rsidP="00F5185A">
      <w:pPr>
        <w:spacing w:before="240" w:after="80"/>
        <w:rPr>
          <w:b/>
          <w:bCs/>
          <w:iCs/>
          <w:color w:val="1F497D" w:themeColor="text2"/>
          <w:sz w:val="24"/>
        </w:rPr>
      </w:pPr>
      <w:r>
        <w:rPr>
          <w:rFonts w:hint="eastAsia"/>
          <w:b/>
          <w:bCs/>
          <w:iCs/>
          <w:color w:val="1F497D" w:themeColor="text2"/>
          <w:sz w:val="24"/>
          <w:lang w:eastAsia="ja-JP"/>
        </w:rPr>
        <w:t>3</w:t>
      </w:r>
      <w:r>
        <w:rPr>
          <w:b/>
          <w:bCs/>
          <w:iCs/>
          <w:color w:val="1F497D" w:themeColor="text2"/>
          <w:sz w:val="24"/>
        </w:rPr>
        <w:t>. Yildizdas et al. 2002</w:t>
      </w:r>
    </w:p>
    <w:p w14:paraId="4B462507" w14:textId="77777777" w:rsidR="00F5185A" w:rsidRPr="00F5185A" w:rsidRDefault="00F5185A" w:rsidP="00F5185A">
      <w:pPr>
        <w:spacing w:before="240" w:after="80"/>
        <w:rPr>
          <w:iCs/>
          <w:sz w:val="24"/>
        </w:rPr>
      </w:pPr>
      <w:r>
        <w:rPr>
          <w:iCs/>
          <w:sz w:val="24"/>
        </w:rPr>
        <w:t>Trial design. Four-arm randomized controlled trial conducted in a single Turkish PICU, randomizing mechanically ventilated patients to sucralfate (n=38), ranitidine (n=42), omeprazole (n=38), or control (n=42). The primary endpoint was ventilator-associated pneumonia; gastrointestinal bleeding and mortality were secondary endpoints.</w:t>
      </w:r>
    </w:p>
    <w:p w14:paraId="1DA9FEE9" w14:textId="1431D5EA" w:rsidR="00F5185A" w:rsidRPr="00F5185A" w:rsidRDefault="000C7E02" w:rsidP="00F5185A">
      <w:pPr>
        <w:spacing w:before="240" w:after="80"/>
        <w:rPr>
          <w:iCs/>
          <w:sz w:val="24"/>
          <w:lang w:eastAsia="ja-JP"/>
        </w:rPr>
      </w:pPr>
      <w:r>
        <w:rPr>
          <w:rFonts w:hint="eastAsia"/>
          <w:iCs/>
          <w:sz w:val="24"/>
          <w:lang w:eastAsia="ja-JP"/>
        </w:rPr>
        <w:t>3</w:t>
      </w:r>
      <w:r>
        <w:rPr>
          <w:iCs/>
          <w:sz w:val="24"/>
          <w:lang w:eastAsia="ja-JP"/>
        </w:rPr>
        <w:t>.1 Combining of multi-arm intervention groups</w:t>
      </w:r>
    </w:p>
    <w:p w14:paraId="1DA4F428" w14:textId="77777777" w:rsidR="00F5185A" w:rsidRPr="00F5185A" w:rsidRDefault="00F5185A" w:rsidP="00F5185A">
      <w:pPr>
        <w:spacing w:before="240" w:after="80"/>
        <w:rPr>
          <w:iCs/>
          <w:sz w:val="24"/>
          <w:lang w:eastAsia="ja-JP"/>
        </w:rPr>
      </w:pPr>
      <w:r>
        <w:rPr>
          <w:iCs/>
          <w:sz w:val="24"/>
          <w:lang w:eastAsia="ja-JP"/>
        </w:rPr>
        <w:lastRenderedPageBreak/>
        <w:t>Consistent with the approach used for López-Herce 1992 and following Cochrane Handbook Section 23.3.4, the three acid-suppressive arms (sucralfate, ranitidine, omeprazole; n=118 total) were combined into a single intervention group for comparison against the control arm (n=42). The control group was used once. Event counts entered into the main analyses were: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3135"/>
        <w:gridCol w:w="1524"/>
      </w:tblGrid>
      <w:tr w:rsidR="00F5185A" w:rsidRPr="00F5185A" w14:paraId="318F0DF9" w14:textId="77777777">
        <w:trPr>
          <w:tblHeader/>
          <w:tblCellSpacing w:w="15" w:type="dxa"/>
        </w:trPr>
        <w:tc>
          <w:tcPr>
            <w:tcW w:w="0" w:type="auto"/>
            <w:vAlign w:val="center"/>
            <w:hideMark/>
          </w:tcPr>
          <w:p w14:paraId="5C376F42" w14:textId="77777777" w:rsidR="00F5185A" w:rsidRPr="00F5185A" w:rsidRDefault="00F5185A" w:rsidP="00F5185A">
            <w:pPr>
              <w:spacing w:before="240" w:after="80"/>
              <w:rPr>
                <w:iCs/>
                <w:sz w:val="24"/>
                <w:lang w:eastAsia="ja-JP"/>
              </w:rPr>
            </w:pPr>
            <w:r>
              <w:rPr>
                <w:iCs/>
                <w:sz w:val="24"/>
                <w:lang w:eastAsia="ja-JP"/>
              </w:rPr>
              <w:t>Outcome</w:t>
            </w:r>
          </w:p>
        </w:tc>
        <w:tc>
          <w:tcPr>
            <w:tcW w:w="0" w:type="auto"/>
            <w:vAlign w:val="center"/>
            <w:hideMark/>
          </w:tcPr>
          <w:p w14:paraId="55B410D1" w14:textId="77777777" w:rsidR="00F5185A" w:rsidRPr="00F5185A" w:rsidRDefault="00F5185A" w:rsidP="00F5185A">
            <w:pPr>
              <w:spacing w:before="240" w:after="80"/>
              <w:rPr>
                <w:iCs/>
                <w:sz w:val="24"/>
                <w:lang w:eastAsia="ja-JP"/>
              </w:rPr>
            </w:pPr>
            <w:r>
              <w:rPr>
                <w:iCs/>
                <w:sz w:val="24"/>
                <w:lang w:eastAsia="ja-JP"/>
              </w:rPr>
              <w:t>Intervention (combined, n=118)</w:t>
            </w:r>
          </w:p>
        </w:tc>
        <w:tc>
          <w:tcPr>
            <w:tcW w:w="0" w:type="auto"/>
            <w:vAlign w:val="center"/>
            <w:hideMark/>
          </w:tcPr>
          <w:p w14:paraId="77F5F398" w14:textId="77777777" w:rsidR="00F5185A" w:rsidRPr="00F5185A" w:rsidRDefault="00F5185A" w:rsidP="00F5185A">
            <w:pPr>
              <w:spacing w:before="240" w:after="80"/>
              <w:rPr>
                <w:iCs/>
                <w:sz w:val="24"/>
                <w:lang w:eastAsia="ja-JP"/>
              </w:rPr>
            </w:pPr>
            <w:r>
              <w:rPr>
                <w:iCs/>
                <w:sz w:val="24"/>
                <w:lang w:eastAsia="ja-JP"/>
              </w:rPr>
              <w:t>Control (n=42)</w:t>
            </w:r>
          </w:p>
        </w:tc>
      </w:tr>
      <w:tr w:rsidR="00F5185A" w:rsidRPr="00F5185A" w14:paraId="23F3CCDC" w14:textId="77777777">
        <w:trPr>
          <w:tblCellSpacing w:w="15" w:type="dxa"/>
        </w:trPr>
        <w:tc>
          <w:tcPr>
            <w:tcW w:w="0" w:type="auto"/>
            <w:vAlign w:val="center"/>
            <w:hideMark/>
          </w:tcPr>
          <w:p w14:paraId="5817D7C2" w14:textId="77777777" w:rsidR="00F5185A" w:rsidRPr="00F5185A" w:rsidRDefault="00F5185A" w:rsidP="00F5185A">
            <w:pPr>
              <w:spacing w:before="240" w:after="80"/>
              <w:rPr>
                <w:iCs/>
                <w:sz w:val="24"/>
                <w:lang w:eastAsia="ja-JP"/>
              </w:rPr>
            </w:pPr>
            <w:r>
              <w:rPr>
                <w:iCs/>
                <w:sz w:val="24"/>
                <w:lang w:eastAsia="ja-JP"/>
              </w:rPr>
              <w:t>UGIB</w:t>
            </w:r>
          </w:p>
        </w:tc>
        <w:tc>
          <w:tcPr>
            <w:tcW w:w="0" w:type="auto"/>
            <w:vAlign w:val="center"/>
            <w:hideMark/>
          </w:tcPr>
          <w:p w14:paraId="25BD0033" w14:textId="77777777" w:rsidR="00F5185A" w:rsidRPr="00F5185A" w:rsidRDefault="00F5185A" w:rsidP="00F5185A">
            <w:pPr>
              <w:spacing w:before="240" w:after="80"/>
              <w:rPr>
                <w:iCs/>
                <w:sz w:val="24"/>
                <w:lang w:eastAsia="ja-JP"/>
              </w:rPr>
            </w:pPr>
            <w:r>
              <w:rPr>
                <w:iCs/>
                <w:sz w:val="24"/>
                <w:lang w:eastAsia="ja-JP"/>
              </w:rPr>
              <w:t>6</w:t>
            </w:r>
          </w:p>
        </w:tc>
        <w:tc>
          <w:tcPr>
            <w:tcW w:w="0" w:type="auto"/>
            <w:vAlign w:val="center"/>
            <w:hideMark/>
          </w:tcPr>
          <w:p w14:paraId="5EBD6C62" w14:textId="77777777" w:rsidR="00F5185A" w:rsidRPr="00F5185A" w:rsidRDefault="00F5185A" w:rsidP="00F5185A">
            <w:pPr>
              <w:spacing w:before="240" w:after="80"/>
              <w:rPr>
                <w:iCs/>
                <w:sz w:val="24"/>
                <w:lang w:eastAsia="ja-JP"/>
              </w:rPr>
            </w:pPr>
            <w:r>
              <w:rPr>
                <w:iCs/>
                <w:sz w:val="24"/>
                <w:lang w:eastAsia="ja-JP"/>
              </w:rPr>
              <w:t>3</w:t>
            </w:r>
          </w:p>
        </w:tc>
      </w:tr>
      <w:tr w:rsidR="00F5185A" w:rsidRPr="00F5185A" w14:paraId="1D9C407C" w14:textId="77777777">
        <w:trPr>
          <w:tblCellSpacing w:w="15" w:type="dxa"/>
        </w:trPr>
        <w:tc>
          <w:tcPr>
            <w:tcW w:w="0" w:type="auto"/>
            <w:vAlign w:val="center"/>
            <w:hideMark/>
          </w:tcPr>
          <w:p w14:paraId="5B06E4EB" w14:textId="77777777" w:rsidR="00F5185A" w:rsidRPr="00F5185A" w:rsidRDefault="00F5185A" w:rsidP="00F5185A">
            <w:pPr>
              <w:spacing w:before="240" w:after="80"/>
              <w:rPr>
                <w:iCs/>
                <w:sz w:val="24"/>
                <w:lang w:eastAsia="ja-JP"/>
              </w:rPr>
            </w:pPr>
            <w:r>
              <w:rPr>
                <w:iCs/>
                <w:sz w:val="24"/>
                <w:lang w:eastAsia="ja-JP"/>
              </w:rPr>
              <w:t>Mortality</w:t>
            </w:r>
          </w:p>
        </w:tc>
        <w:tc>
          <w:tcPr>
            <w:tcW w:w="0" w:type="auto"/>
            <w:vAlign w:val="center"/>
            <w:hideMark/>
          </w:tcPr>
          <w:p w14:paraId="3288F2C6" w14:textId="77777777" w:rsidR="00F5185A" w:rsidRPr="00F5185A" w:rsidRDefault="00F5185A" w:rsidP="00F5185A">
            <w:pPr>
              <w:spacing w:before="240" w:after="80"/>
              <w:rPr>
                <w:iCs/>
                <w:sz w:val="24"/>
                <w:lang w:eastAsia="ja-JP"/>
              </w:rPr>
            </w:pPr>
            <w:r>
              <w:rPr>
                <w:iCs/>
                <w:sz w:val="24"/>
                <w:lang w:eastAsia="ja-JP"/>
              </w:rPr>
              <w:t>26</w:t>
            </w:r>
          </w:p>
        </w:tc>
        <w:tc>
          <w:tcPr>
            <w:tcW w:w="0" w:type="auto"/>
            <w:vAlign w:val="center"/>
            <w:hideMark/>
          </w:tcPr>
          <w:p w14:paraId="4AD662E1" w14:textId="77777777" w:rsidR="00F5185A" w:rsidRPr="00F5185A" w:rsidRDefault="00F5185A" w:rsidP="00F5185A">
            <w:pPr>
              <w:spacing w:before="240" w:after="80"/>
              <w:rPr>
                <w:iCs/>
                <w:sz w:val="24"/>
                <w:lang w:eastAsia="ja-JP"/>
              </w:rPr>
            </w:pPr>
            <w:r>
              <w:rPr>
                <w:iCs/>
                <w:sz w:val="24"/>
                <w:lang w:eastAsia="ja-JP"/>
              </w:rPr>
              <w:t>9</w:t>
            </w:r>
          </w:p>
        </w:tc>
      </w:tr>
      <w:tr w:rsidR="00F5185A" w:rsidRPr="00F5185A" w14:paraId="7827268C" w14:textId="77777777">
        <w:trPr>
          <w:tblCellSpacing w:w="15" w:type="dxa"/>
        </w:trPr>
        <w:tc>
          <w:tcPr>
            <w:tcW w:w="0" w:type="auto"/>
            <w:vAlign w:val="center"/>
            <w:hideMark/>
          </w:tcPr>
          <w:p w14:paraId="0E629A5C" w14:textId="77777777" w:rsidR="00F5185A" w:rsidRPr="00F5185A" w:rsidRDefault="00F5185A" w:rsidP="00F5185A">
            <w:pPr>
              <w:spacing w:before="240" w:after="80"/>
              <w:rPr>
                <w:iCs/>
                <w:sz w:val="24"/>
                <w:lang w:eastAsia="ja-JP"/>
              </w:rPr>
            </w:pPr>
            <w:r>
              <w:rPr>
                <w:iCs/>
                <w:sz w:val="24"/>
                <w:lang w:eastAsia="ja-JP"/>
              </w:rPr>
              <w:t>VAP</w:t>
            </w:r>
          </w:p>
        </w:tc>
        <w:tc>
          <w:tcPr>
            <w:tcW w:w="0" w:type="auto"/>
            <w:vAlign w:val="center"/>
            <w:hideMark/>
          </w:tcPr>
          <w:p w14:paraId="77C86F92" w14:textId="77777777" w:rsidR="00F5185A" w:rsidRPr="00F5185A" w:rsidRDefault="00F5185A" w:rsidP="00F5185A">
            <w:pPr>
              <w:spacing w:before="240" w:after="80"/>
              <w:rPr>
                <w:iCs/>
                <w:sz w:val="24"/>
                <w:lang w:eastAsia="ja-JP"/>
              </w:rPr>
            </w:pPr>
            <w:r>
              <w:rPr>
                <w:iCs/>
                <w:sz w:val="24"/>
                <w:lang w:eastAsia="ja-JP"/>
              </w:rPr>
              <w:t>53</w:t>
            </w:r>
          </w:p>
        </w:tc>
        <w:tc>
          <w:tcPr>
            <w:tcW w:w="0" w:type="auto"/>
            <w:vAlign w:val="center"/>
            <w:hideMark/>
          </w:tcPr>
          <w:p w14:paraId="5F6D1E10" w14:textId="77777777" w:rsidR="00F5185A" w:rsidRPr="00F5185A" w:rsidRDefault="00F5185A" w:rsidP="00F5185A">
            <w:pPr>
              <w:spacing w:before="240" w:after="80"/>
              <w:rPr>
                <w:iCs/>
                <w:sz w:val="24"/>
                <w:lang w:eastAsia="ja-JP"/>
              </w:rPr>
            </w:pPr>
            <w:r>
              <w:rPr>
                <w:iCs/>
                <w:sz w:val="24"/>
                <w:lang w:eastAsia="ja-JP"/>
              </w:rPr>
              <w:t>17</w:t>
            </w:r>
          </w:p>
        </w:tc>
      </w:tr>
    </w:tbl>
    <w:p w14:paraId="10FEC7CB" w14:textId="77777777" w:rsidR="00F5185A" w:rsidRPr="00F5185A" w:rsidRDefault="00F5185A" w:rsidP="00F5185A">
      <w:pPr>
        <w:spacing w:before="240" w:after="80"/>
        <w:rPr>
          <w:iCs/>
          <w:sz w:val="24"/>
          <w:lang w:eastAsia="ja-JP"/>
        </w:rPr>
      </w:pPr>
      <w:r>
        <w:rPr>
          <w:iCs/>
          <w:sz w:val="24"/>
          <w:lang w:eastAsia="ja-JP"/>
        </w:rPr>
        <w:t>Clinically significant gastrointestinal bleeding was not separately defined in this trial and therefore Yildizdas 2002 did not contribute to the clinically significant gastrointestinal bleeding analysis.</w:t>
      </w:r>
    </w:p>
    <w:p w14:paraId="19435ED6" w14:textId="23297543" w:rsidR="00F5185A" w:rsidRPr="00F5185A" w:rsidRDefault="000C7E02" w:rsidP="00F5185A">
      <w:pPr>
        <w:spacing w:before="240" w:after="80"/>
        <w:rPr>
          <w:iCs/>
          <w:sz w:val="24"/>
          <w:lang w:eastAsia="ja-JP"/>
        </w:rPr>
      </w:pPr>
      <w:r>
        <w:rPr>
          <w:rFonts w:hint="eastAsia"/>
          <w:iCs/>
          <w:sz w:val="24"/>
          <w:lang w:eastAsia="ja-JP"/>
        </w:rPr>
        <w:t>3</w:t>
      </w:r>
      <w:r>
        <w:rPr>
          <w:iCs/>
          <w:sz w:val="24"/>
          <w:lang w:eastAsia="ja-JP"/>
        </w:rPr>
        <w:t>.2 Subgroup analyses</w:t>
      </w:r>
    </w:p>
    <w:p w14:paraId="4899F209" w14:textId="563E4A3E" w:rsidR="00F5185A" w:rsidRPr="00F5185A" w:rsidRDefault="00F5185A" w:rsidP="00F5185A">
      <w:pPr>
        <w:spacing w:before="240" w:after="80"/>
        <w:rPr>
          <w:iCs/>
          <w:sz w:val="24"/>
          <w:lang w:eastAsia="ja-JP"/>
        </w:rPr>
      </w:pPr>
      <w:r>
        <w:rPr>
          <w:iCs/>
          <w:sz w:val="24"/>
          <w:lang w:eastAsia="ja-JP"/>
        </w:rPr>
        <w:t xml:space="preserve">For the prespecified subgroup analyses by drug class, arm-level data were preserved. Sucralfate and ranitidine arms contributed to the H2RA-or-mucosal-protectant subgroup analyses where applicable, and the omeprazole arm contributed to the PPI subgroup analysis (Figure </w:t>
      </w:r>
      <w:r w:rsidR="00B0223D">
        <w:rPr>
          <w:rFonts w:hint="eastAsia"/>
          <w:iCs/>
          <w:sz w:val="24"/>
          <w:lang w:eastAsia="ja-JP"/>
        </w:rPr>
        <w:t>5A</w:t>
      </w:r>
      <w:r>
        <w:rPr>
          <w:iCs/>
          <w:sz w:val="24"/>
          <w:lang w:eastAsia="ja-JP"/>
        </w:rPr>
        <w:t>).</w:t>
      </w:r>
    </w:p>
    <w:p w14:paraId="50D6020C" w14:textId="77777777" w:rsidR="00F5185A" w:rsidRPr="00F5185A" w:rsidRDefault="00F5185A">
      <w:pPr>
        <w:spacing w:before="240" w:after="80"/>
        <w:rPr>
          <w:b/>
          <w:iCs/>
          <w:sz w:val="24"/>
          <w:lang w:eastAsia="ja-JP"/>
        </w:rPr>
      </w:pPr>
    </w:p>
    <w:p w14:paraId="17579108" w14:textId="77777777" w:rsidR="00FF4F00" w:rsidRDefault="00794277">
      <w:pPr>
        <w:spacing w:before="240" w:after="80"/>
      </w:pPr>
      <w:r>
        <w:rPr>
          <w:b/>
          <w:i/>
          <w:sz w:val="24"/>
        </w:rPr>
        <w:t>Subgroup Analyses — Details for Infeasible Subgroups</w:t>
      </w:r>
    </w:p>
    <w:p w14:paraId="15638FB7" w14:textId="77777777" w:rsidR="00FF4F00" w:rsidRDefault="00794277">
      <w:pPr>
        <w:spacing w:after="40"/>
      </w:pPr>
      <w:r>
        <w:rPr>
          <w:b/>
          <w:i/>
        </w:rPr>
        <w:t>Subgroup by Underlying Condition</w:t>
      </w:r>
    </w:p>
    <w:p w14:paraId="278D0E9D" w14:textId="77777777" w:rsidR="00FF4F00" w:rsidRDefault="00794277">
      <w:pPr>
        <w:spacing w:after="120"/>
      </w:pPr>
      <w:r>
        <w:t>Subgroup analysis by underlying condition was prespecified to explore whether the effect of SUP differed across major disease categories (e.g., cardiac surgery, sepsis, trauma). This analysis was feasible in principle given that two eligible RCTs enrolled sufficiently distinct patient populations. However, one of these two trials did not provide disaggregated UGIB data by underlying condition, preventing extraction of stratum-specific event counts required for a valid subgroup comparison. Accordingly, this analysis was not performed. If future trials report outcomes stratified by admission diagnosis, a subgroup analysis of this type would be informative.</w:t>
      </w:r>
    </w:p>
    <w:p w14:paraId="69765A2D" w14:textId="77777777" w:rsidR="00FF4F00" w:rsidRDefault="00794277">
      <w:pPr>
        <w:spacing w:after="40"/>
      </w:pPr>
      <w:r>
        <w:rPr>
          <w:b/>
          <w:i/>
        </w:rPr>
        <w:t>Subgroup by Disease Severity</w:t>
      </w:r>
    </w:p>
    <w:p w14:paraId="7C6E5293" w14:textId="77777777" w:rsidR="00FF4F00" w:rsidRDefault="00794277">
      <w:pPr>
        <w:spacing w:after="120"/>
      </w:pPr>
      <w:r>
        <w:t>Subgroup analysis by disease severity was prespecified based on the established association between illness severity and UGIB risk. However, no included study reported subgroup data stratified by validated severity scores (e.g., PELOD, pSOFA) in a way that would permit a formal comparison across severity strata. One study enrolled only patients with pSOFA scores below 16, representing a partially pre-selected lower-severity population; this trial showed no significant reduction in UGIB. Because no two studies used comparable severity-based stratification, a pooled subgroup analysis by disease severity was not feasible.</w:t>
      </w:r>
    </w:p>
    <w:p w14:paraId="2F62D6A0" w14:textId="77777777" w:rsidR="00FF4F00" w:rsidRDefault="00794277">
      <w:pPr>
        <w:spacing w:after="40"/>
      </w:pPr>
      <w:r>
        <w:rPr>
          <w:b/>
          <w:i/>
        </w:rPr>
        <w:t>Notes on Mechanically Ventilated Patients and Coagulopathy Subgroups</w:t>
      </w:r>
    </w:p>
    <w:p w14:paraId="7DD09076" w14:textId="3C0D3DD3" w:rsidR="00FF4F00" w:rsidRDefault="00794277">
      <w:pPr>
        <w:spacing w:after="120"/>
      </w:pPr>
      <w:r>
        <w:lastRenderedPageBreak/>
        <w:t xml:space="preserve">The mechanically ventilated subgroup analysis was based on two studies that reported UGIB outcomes specifically in mechanically ventilated patients and provided data suitable for pooling (Figure </w:t>
      </w:r>
      <w:r w:rsidR="00F64A0A">
        <w:rPr>
          <w:rFonts w:hint="eastAsia"/>
          <w:lang w:eastAsia="ja-JP"/>
        </w:rPr>
        <w:t>5C</w:t>
      </w:r>
      <w:r>
        <w:t>). The coagulopathy subgroup analysis was derived from a single RCT that enrolled exclusively patients with coagulopathy; this result is hypothesis-generating only and should be interpreted with caution given the small sample size (n=54) and the exploratory nature of the analysis.</w:t>
      </w:r>
    </w:p>
    <w:p w14:paraId="454304FD" w14:textId="77777777" w:rsidR="00FF4F00" w:rsidRDefault="00794277">
      <w:r>
        <w:br w:type="page"/>
      </w:r>
    </w:p>
    <w:p w14:paraId="37233D25" w14:textId="77777777" w:rsidR="00FF4F00" w:rsidRDefault="00FF4F00">
      <w:pPr>
        <w:sectPr w:rsidR="00FF4F00">
          <w:footerReference w:type="default" r:id="rId8"/>
          <w:pgSz w:w="11906" w:h="16838"/>
          <w:pgMar w:top="1440" w:right="1440" w:bottom="1440" w:left="1440" w:header="720" w:footer="720" w:gutter="0"/>
          <w:cols w:space="720"/>
          <w:docGrid w:linePitch="360"/>
        </w:sectPr>
      </w:pPr>
    </w:p>
    <w:p w14:paraId="5DED891C" w14:textId="77777777" w:rsidR="00FF4F00" w:rsidRDefault="00794277">
      <w:pPr>
        <w:spacing w:after="120"/>
      </w:pPr>
      <w:r>
        <w:rPr>
          <w:b/>
          <w:sz w:val="24"/>
        </w:rPr>
        <w:lastRenderedPageBreak/>
        <w:t>Supplementary Table 1. Characteristics of Included Studies</w:t>
      </w:r>
    </w:p>
    <w:tbl>
      <w:tblPr>
        <w:tblStyle w:val="afe"/>
        <w:tblW w:w="0" w:type="auto"/>
        <w:tblLook w:val="04A0" w:firstRow="1" w:lastRow="0" w:firstColumn="1" w:lastColumn="0" w:noHBand="0" w:noVBand="1"/>
      </w:tblPr>
      <w:tblGrid>
        <w:gridCol w:w="1195"/>
        <w:gridCol w:w="1124"/>
        <w:gridCol w:w="1017"/>
        <w:gridCol w:w="1464"/>
        <w:gridCol w:w="930"/>
        <w:gridCol w:w="868"/>
        <w:gridCol w:w="1560"/>
        <w:gridCol w:w="1292"/>
        <w:gridCol w:w="1008"/>
        <w:gridCol w:w="2433"/>
        <w:gridCol w:w="949"/>
      </w:tblGrid>
      <w:tr w:rsidR="00FF4F00" w14:paraId="4FDBB466" w14:textId="77777777">
        <w:tc>
          <w:tcPr>
            <w:tcW w:w="1152"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7CB1DAC0" w14:textId="77777777" w:rsidR="00FF4F00" w:rsidRDefault="00794277">
            <w:r>
              <w:rPr>
                <w:b/>
                <w:sz w:val="14"/>
              </w:rPr>
              <w:t>Author, Year</w:t>
            </w:r>
          </w:p>
        </w:tc>
        <w:tc>
          <w:tcPr>
            <w:tcW w:w="1152"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E21E0F3" w14:textId="77777777" w:rsidR="00FF4F00" w:rsidRDefault="00794277">
            <w:r>
              <w:rPr>
                <w:b/>
                <w:sz w:val="14"/>
              </w:rPr>
              <w:t>Country,</w:t>
            </w:r>
            <w:r>
              <w:rPr>
                <w:b/>
                <w:sz w:val="14"/>
              </w:rPr>
              <w:br/>
              <w:t>No. of Centers</w:t>
            </w:r>
          </w:p>
        </w:tc>
        <w:tc>
          <w:tcPr>
            <w:tcW w:w="1037"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4BFA505" w14:textId="77777777" w:rsidR="00FF4F00" w:rsidRDefault="00794277">
            <w:r>
              <w:rPr>
                <w:b/>
                <w:sz w:val="14"/>
              </w:rPr>
              <w:t>Study Design</w:t>
            </w:r>
          </w:p>
        </w:tc>
        <w:tc>
          <w:tcPr>
            <w:tcW w:w="1512"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72A6305" w14:textId="77777777" w:rsidR="00FF4F00" w:rsidRDefault="00794277">
            <w:r>
              <w:rPr>
                <w:b/>
                <w:sz w:val="14"/>
              </w:rPr>
              <w:t>Population /</w:t>
            </w:r>
            <w:r>
              <w:rPr>
                <w:b/>
                <w:sz w:val="14"/>
              </w:rPr>
              <w:br/>
              <w:t>Inclusion Criteria</w:t>
            </w:r>
          </w:p>
        </w:tc>
        <w:tc>
          <w:tcPr>
            <w:tcW w:w="893"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025851E" w14:textId="77777777" w:rsidR="00FF4F00" w:rsidRDefault="00794277">
            <w:r>
              <w:rPr>
                <w:b/>
                <w:sz w:val="14"/>
              </w:rPr>
              <w:t>N</w:t>
            </w:r>
            <w:r>
              <w:rPr>
                <w:b/>
                <w:sz w:val="14"/>
              </w:rPr>
              <w:br/>
              <w:t>(Int / Ctrl)</w:t>
            </w:r>
          </w:p>
        </w:tc>
        <w:tc>
          <w:tcPr>
            <w:tcW w:w="86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7A70A29E" w14:textId="77777777" w:rsidR="00FF4F00" w:rsidRDefault="00794277">
            <w:r>
              <w:rPr>
                <w:b/>
                <w:sz w:val="14"/>
              </w:rPr>
              <w:t>Age</w:t>
            </w:r>
          </w:p>
        </w:tc>
        <w:tc>
          <w:tcPr>
            <w:tcW w:w="1267"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E1B759E" w14:textId="77777777" w:rsidR="00FF4F00" w:rsidRDefault="00794277">
            <w:r>
              <w:rPr>
                <w:b/>
                <w:sz w:val="14"/>
              </w:rPr>
              <w:t>Intervention</w:t>
            </w:r>
            <w:r>
              <w:rPr>
                <w:b/>
                <w:sz w:val="14"/>
              </w:rPr>
              <w:br/>
              <w:t>(Agent, Route)</w:t>
            </w:r>
          </w:p>
        </w:tc>
        <w:tc>
          <w:tcPr>
            <w:tcW w:w="129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E7C0FBC" w14:textId="77777777" w:rsidR="00FF4F00" w:rsidRDefault="00794277">
            <w:r>
              <w:rPr>
                <w:b/>
                <w:sz w:val="14"/>
              </w:rPr>
              <w:t>Dose, Frequency,</w:t>
            </w:r>
            <w:r>
              <w:rPr>
                <w:b/>
                <w:sz w:val="14"/>
              </w:rPr>
              <w:br/>
              <w:t>Duration</w:t>
            </w:r>
          </w:p>
        </w:tc>
        <w:tc>
          <w:tcPr>
            <w:tcW w:w="792"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87450E6" w14:textId="77777777" w:rsidR="00FF4F00" w:rsidRDefault="00794277">
            <w:r>
              <w:rPr>
                <w:b/>
                <w:sz w:val="14"/>
              </w:rPr>
              <w:t>Comparator</w:t>
            </w:r>
          </w:p>
        </w:tc>
        <w:tc>
          <w:tcPr>
            <w:tcW w:w="2707"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31506AD6" w14:textId="25850846" w:rsidR="00FF4F00" w:rsidRDefault="00A665C9">
            <w:r>
              <w:rPr>
                <w:rFonts w:hint="eastAsia"/>
                <w:b/>
                <w:sz w:val="14"/>
                <w:lang w:eastAsia="ja-JP"/>
              </w:rPr>
              <w:t xml:space="preserve">Main </w:t>
            </w:r>
            <w:r>
              <w:rPr>
                <w:b/>
                <w:sz w:val="14"/>
              </w:rPr>
              <w:t>Outcomes Reported</w:t>
            </w:r>
            <w:r>
              <w:rPr>
                <w:b/>
                <w:sz w:val="14"/>
              </w:rPr>
              <w:br/>
              <w:t>(GIB/clinically significant gastrointestinal bleeding/Mortality/VAP:</w:t>
            </w:r>
            <w:r>
              <w:rPr>
                <w:b/>
                <w:sz w:val="14"/>
              </w:rPr>
              <w:br/>
              <w:t>events/total)</w:t>
            </w:r>
          </w:p>
        </w:tc>
        <w:tc>
          <w:tcPr>
            <w:tcW w:w="57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751F6111" w14:textId="77777777" w:rsidR="00FF4F00" w:rsidRDefault="00794277">
            <w:r>
              <w:rPr>
                <w:b/>
                <w:sz w:val="14"/>
              </w:rPr>
              <w:t>Funding / COI</w:t>
            </w:r>
          </w:p>
        </w:tc>
      </w:tr>
      <w:tr w:rsidR="00ED2D4E" w14:paraId="4649CDC0" w14:textId="77777777">
        <w:tc>
          <w:tcPr>
            <w:tcW w:w="13657" w:type="dxa"/>
            <w:gridSpan w:val="11"/>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6F9C00E" w14:textId="77777777" w:rsidR="00ED2D4E" w:rsidRDefault="00EF31A7">
            <w:pPr>
              <w:rPr>
                <w:b/>
                <w:sz w:val="16"/>
              </w:rPr>
            </w:pPr>
            <w:r>
              <w:rPr>
                <w:b/>
                <w:sz w:val="16"/>
              </w:rPr>
              <w:t>Randomized controlled trials (n = 7)</w:t>
            </w:r>
          </w:p>
        </w:tc>
      </w:tr>
      <w:tr w:rsidR="00FF4F00" w14:paraId="5BFD5254"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48432" w14:textId="77777777" w:rsidR="00FF4F00" w:rsidRDefault="00794277">
            <w:r>
              <w:rPr>
                <w:sz w:val="14"/>
              </w:rPr>
              <w:t>Yildizdas et al., 2002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05585" w14:textId="77777777" w:rsidR="00FF4F00" w:rsidRDefault="00794277">
            <w:r>
              <w:rPr>
                <w:sz w:val="14"/>
              </w:rPr>
              <w:t>Turkey, 1 center</w:t>
            </w:r>
            <w:r>
              <w:rPr>
                <w:sz w:val="14"/>
              </w:rPr>
              <w:br/>
              <w:t>(Cukurova University PICU)</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DA39C" w14:textId="77777777" w:rsidR="00FF4F00" w:rsidRDefault="00794277">
            <w:r>
              <w:rPr>
                <w:sz w:val="14"/>
              </w:rPr>
              <w:t>Prospective RCT, 4-arm, open-label</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A7EC5" w14:textId="77777777" w:rsidR="00FF4F00" w:rsidRDefault="00794277">
            <w:r>
              <w:rPr>
                <w:sz w:val="14"/>
              </w:rPr>
              <w:t>MV PICU patients; excluded if extubated, died, or developed pneumonia within 48h, or received study drug within 48h prior</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6E4960" w14:textId="77777777" w:rsidR="00FF4F00" w:rsidRDefault="00794277">
            <w:r>
              <w:rPr>
                <w:sz w:val="14"/>
              </w:rPr>
              <w:t>Sucralfate: 38</w:t>
            </w:r>
            <w:r>
              <w:rPr>
                <w:sz w:val="14"/>
              </w:rPr>
              <w:br/>
              <w:t>Ranitidine: 42</w:t>
            </w:r>
            <w:r>
              <w:rPr>
                <w:sz w:val="14"/>
              </w:rPr>
              <w:br/>
              <w:t>Omeprazole: 38</w:t>
            </w:r>
            <w:r>
              <w:rPr>
                <w:sz w:val="14"/>
              </w:rPr>
              <w:br/>
              <w:t>Control: 42</w:t>
            </w:r>
            <w:r>
              <w:rPr>
                <w:sz w:val="14"/>
              </w:rPr>
              <w:br/>
              <w:t>(Total N=160)</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19A74" w14:textId="77777777" w:rsidR="00FF4F00" w:rsidRDefault="00794277">
            <w:r>
              <w:rPr>
                <w:sz w:val="14"/>
              </w:rPr>
              <w:t>Mean ~58–60 mo across groups (range NR)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8F1EEB" w14:textId="77777777" w:rsidR="00FF4F00" w:rsidRDefault="00794277">
            <w:r>
              <w:rPr>
                <w:sz w:val="14"/>
              </w:rPr>
              <w:t>Sucralfate (NG);</w:t>
            </w:r>
            <w:r>
              <w:rPr>
                <w:sz w:val="14"/>
              </w:rPr>
              <w:br/>
              <w:t>Ranitidine (IV);</w:t>
            </w:r>
            <w:r>
              <w:rPr>
                <w:sz w:val="14"/>
              </w:rPr>
              <w:br/>
              <w:t>Omeprazole (IV)</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A201D9" w14:textId="77777777" w:rsidR="00FF4F00" w:rsidRDefault="00794277">
            <w:r>
              <w:rPr>
                <w:sz w:val="14"/>
              </w:rPr>
              <w:t>Sucralfate 60 mg/kg/d ÷4 doses NG;</w:t>
            </w:r>
            <w:r>
              <w:rPr>
                <w:sz w:val="14"/>
              </w:rPr>
              <w:br/>
              <w:t>Ranitidine 2 mg/kg/d ÷4 doses IV;</w:t>
            </w:r>
            <w:r>
              <w:rPr>
                <w:sz w:val="14"/>
              </w:rPr>
              <w:br/>
              <w:t>Omeprazole 1 mg/kg/d ÷2 doses IV;</w:t>
            </w:r>
            <w:r>
              <w:rPr>
                <w:sz w:val="14"/>
              </w:rPr>
              <w:br/>
              <w:t>within 6h of PICU admission; until extubation</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DD1EC" w14:textId="77777777" w:rsidR="00FF4F00" w:rsidRDefault="00794277">
            <w:r>
              <w:rPr>
                <w:sz w:val="14"/>
              </w:rPr>
              <w:t>No medication</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DB40BE" w14:textId="77777777" w:rsidR="00FF4F00" w:rsidRDefault="00794277">
            <w:r>
              <w:rPr>
                <w:sz w:val="14"/>
              </w:rPr>
              <w:t>GIB: S 2/38 / R 2/42 / O 2/38 / P 3/42 (P=0.76)</w:t>
            </w:r>
            <w:r>
              <w:rPr>
                <w:sz w:val="14"/>
              </w:rPr>
              <w:br/>
              <w:t>Clinically significant gastrointestinal bleeding: NR</w:t>
            </w:r>
            <w:r>
              <w:rPr>
                <w:sz w:val="14"/>
              </w:rPr>
              <w:br/>
              <w:t>Mortality: S 8/38 / R 10/42 / O 8/38 / P 9/42 (P=0.99)</w:t>
            </w:r>
            <w:r>
              <w:rPr>
                <w:sz w:val="14"/>
              </w:rPr>
              <w:br/>
              <w:t>VAP: S 16/38 / R 20/42 / O 17/38 / P 17/42 (P=0.96)</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FBC73" w14:textId="77777777" w:rsidR="00FF4F00" w:rsidRDefault="00794277">
            <w:r>
              <w:rPr>
                <w:sz w:val="14"/>
              </w:rPr>
              <w:t>Funding: NR</w:t>
            </w:r>
            <w:r>
              <w:rPr>
                <w:sz w:val="14"/>
              </w:rPr>
              <w:br/>
              <w:t>COI: NR</w:t>
            </w:r>
          </w:p>
        </w:tc>
      </w:tr>
      <w:tr w:rsidR="00FF4F00" w14:paraId="6D04317A"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C5674" w14:textId="77777777" w:rsidR="00FF4F00" w:rsidRDefault="00794277">
            <w:r>
              <w:rPr>
                <w:sz w:val="14"/>
              </w:rPr>
              <w:t>Kavilapurapu et al., 2025</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9D763C" w14:textId="77777777" w:rsidR="00FF4F00" w:rsidRDefault="00794277">
            <w:r>
              <w:rPr>
                <w:sz w:val="14"/>
              </w:rPr>
              <w:t>India, 1 center</w:t>
            </w:r>
            <w:r>
              <w:rPr>
                <w:sz w:val="14"/>
              </w:rPr>
              <w:br/>
              <w:t>(St. John's Medical College, Bengaluru)</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DAA52" w14:textId="77777777" w:rsidR="00FF4F00" w:rsidRDefault="00794277">
            <w:r>
              <w:rPr>
                <w:sz w:val="14"/>
              </w:rPr>
              <w:t>Parallel-group, double-blind, placebo-controlled RCT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0BF36A" w14:textId="77777777" w:rsidR="00FF4F00" w:rsidRDefault="00794277">
            <w:r>
              <w:rPr>
                <w:sz w:val="14"/>
              </w:rPr>
              <w:t>Children 1 mo–18 yr with ≥1 risk factor for GIB: shock, MV &gt;24h, coagulopathy, anticoagulant use, or chronic liver disease</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860B5D" w14:textId="77777777" w:rsidR="00FF4F00" w:rsidRDefault="00794277">
            <w:r>
              <w:rPr>
                <w:sz w:val="14"/>
              </w:rPr>
              <w:t>Pantoprazole: 151</w:t>
            </w:r>
            <w:r>
              <w:rPr>
                <w:sz w:val="14"/>
              </w:rPr>
              <w:br/>
              <w:t>Placebo: 150</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6ED12B" w14:textId="77777777" w:rsidR="00FF4F00" w:rsidRDefault="00794277">
            <w:r>
              <w:rPr>
                <w:sz w:val="14"/>
              </w:rPr>
              <w:t>Median 60 mo (IQR 24–120) vs 60 mo (IQR 12–132)</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5B250D" w14:textId="77777777" w:rsidR="00FF4F00" w:rsidRDefault="00794277">
            <w:r>
              <w:rPr>
                <w:sz w:val="14"/>
              </w:rPr>
              <w:t>Pantoprazole, IV</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95A09" w14:textId="77777777" w:rsidR="00FF4F00" w:rsidRDefault="00794277">
            <w:r>
              <w:rPr>
                <w:sz w:val="14"/>
              </w:rPr>
              <w:t>1 mg/kg (max 40 mg) once daily IV;</w:t>
            </w:r>
            <w:r>
              <w:rPr>
                <w:sz w:val="14"/>
              </w:rPr>
              <w:br/>
              <w:t>from randomization until ICU discharge (max 28 days), death, or clinically significant gastrointestinal bleeding;</w:t>
            </w:r>
            <w:r>
              <w:rPr>
                <w:sz w:val="14"/>
              </w:rPr>
              <w:br/>
              <w:t>median duration 4.5 days</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FDDD8" w14:textId="77777777" w:rsidR="00FF4F00" w:rsidRDefault="00794277">
            <w:r>
              <w:rPr>
                <w:sz w:val="14"/>
              </w:rPr>
              <w:t>Placebo (normal saline 0.25 mL/kg, max 10 mL, daily)</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E6163" w14:textId="77777777" w:rsidR="00FF4F00" w:rsidRDefault="00794277">
            <w:r>
              <w:rPr>
                <w:sz w:val="14"/>
              </w:rPr>
              <w:t>GIB (any): 21/151 vs 19/150 (RR 1.03, P=0.985)</w:t>
            </w:r>
            <w:r>
              <w:rPr>
                <w:sz w:val="14"/>
              </w:rPr>
              <w:br/>
              <w:t>Clinically significant gastrointestinal bleeding: 2/151 vs 1/150 (RR 0.54, P=0.654)</w:t>
            </w:r>
            <w:r>
              <w:rPr>
                <w:sz w:val="14"/>
              </w:rPr>
              <w:br/>
              <w:t>Mortality: 16/151 vs 10/150 (RR 1.2, P=0.218)</w:t>
            </w:r>
            <w:r>
              <w:rPr>
                <w:sz w:val="14"/>
              </w:rPr>
              <w:br/>
              <w:t>VAP: 5/151 vs 4/150 (RR 1.06, P=0.622)</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AFC77" w14:textId="77777777" w:rsidR="00FF4F00" w:rsidRDefault="00794277">
            <w:r>
              <w:rPr>
                <w:sz w:val="14"/>
              </w:rPr>
              <w:t>Funding: None</w:t>
            </w:r>
            <w:r>
              <w:rPr>
                <w:sz w:val="14"/>
              </w:rPr>
              <w:br/>
              <w:t>COI: None</w:t>
            </w:r>
          </w:p>
        </w:tc>
      </w:tr>
      <w:tr w:rsidR="00FF4F00" w14:paraId="7F8EEE71"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B03C4" w14:textId="77777777" w:rsidR="00FF4F00" w:rsidRDefault="00794277">
            <w:r>
              <w:rPr>
                <w:sz w:val="14"/>
              </w:rPr>
              <w:t>Abu El-Ella et al., 2022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C4627" w14:textId="77777777" w:rsidR="00FF4F00" w:rsidRDefault="00794277">
            <w:r>
              <w:rPr>
                <w:sz w:val="14"/>
              </w:rPr>
              <w:t>Egypt, 1 center</w:t>
            </w:r>
            <w:r>
              <w:rPr>
                <w:sz w:val="14"/>
              </w:rPr>
              <w:br/>
              <w:t>(Menoufia University Hospital)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C18BE" w14:textId="77777777" w:rsidR="00FF4F00" w:rsidRDefault="00794277">
            <w:r>
              <w:rPr>
                <w:sz w:val="14"/>
              </w:rPr>
              <w:t>Open-label RCT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DEAF1" w14:textId="77777777" w:rsidR="00FF4F00" w:rsidRDefault="00794277">
            <w:r>
              <w:rPr>
                <w:sz w:val="14"/>
              </w:rPr>
              <w:t>Critically ill PICU children with pSOFA &lt;16; excluded: age &lt;1 mo or &gt;16 yr, GIB at admission, hemorrhagic disorders, prior SUP, pSOFA ≥16</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5B090C" w14:textId="77777777" w:rsidR="00FF4F00" w:rsidRDefault="00794277">
            <w:r>
              <w:rPr>
                <w:sz w:val="14"/>
              </w:rPr>
              <w:t>Omeprazole: 72</w:t>
            </w:r>
            <w:r>
              <w:rPr>
                <w:sz w:val="14"/>
              </w:rPr>
              <w:br/>
              <w:t>No SUP: 72</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707F8" w14:textId="77777777" w:rsidR="00FF4F00" w:rsidRDefault="00794277">
            <w:r>
              <w:rPr>
                <w:sz w:val="14"/>
              </w:rPr>
              <w:t>Median 24 mo (IQR 7–107) vs 24 mo (IQR 6–72)</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79A39E" w14:textId="77777777" w:rsidR="00FF4F00" w:rsidRDefault="00794277">
            <w:r>
              <w:rPr>
                <w:sz w:val="14"/>
              </w:rPr>
              <w:t>Omeprazole, IV</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8694CE" w14:textId="77777777" w:rsidR="00FF4F00" w:rsidRDefault="00794277">
            <w:r>
              <w:rPr>
                <w:sz w:val="14"/>
              </w:rPr>
              <w:t>1 mg/kg/day IV within 4h of PICU admission;</w:t>
            </w:r>
            <w:r>
              <w:rPr>
                <w:sz w:val="14"/>
              </w:rPr>
              <w:br/>
              <w:t>discontinued when vasopressors no longer needed and enteral feeds ≥2/3 required;</w:t>
            </w:r>
            <w:r>
              <w:rPr>
                <w:sz w:val="14"/>
              </w:rPr>
              <w:br/>
              <w:t>median 6 days</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76359" w14:textId="77777777" w:rsidR="00FF4F00" w:rsidRDefault="00794277">
            <w:r>
              <w:rPr>
                <w:sz w:val="14"/>
              </w:rPr>
              <w:t>No SUP</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B363C" w14:textId="77777777" w:rsidR="00FF4F00" w:rsidRDefault="00794277">
            <w:r>
              <w:rPr>
                <w:sz w:val="14"/>
              </w:rPr>
              <w:t>GIB (overt): 20/72 vs 19/72 (P=0.85)</w:t>
            </w:r>
            <w:r>
              <w:rPr>
                <w:sz w:val="14"/>
              </w:rPr>
              <w:br/>
              <w:t>Clinically significant gastrointestinal bleeding: 5/72 vs 3/72 (P=0.54)</w:t>
            </w:r>
            <w:r>
              <w:rPr>
                <w:sz w:val="14"/>
              </w:rPr>
              <w:br/>
              <w:t>Mortality: 9/72 vs 10/72 (P=0.81)</w:t>
            </w:r>
            <w:r>
              <w:rPr>
                <w:sz w:val="14"/>
              </w:rPr>
              <w:br/>
              <w:t>VAP: 7/72 vs 6/72 (P=0.77)</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DC5AA9" w14:textId="77777777" w:rsidR="00FF4F00" w:rsidRDefault="00794277">
            <w:r>
              <w:rPr>
                <w:sz w:val="14"/>
              </w:rPr>
              <w:t>Funding: NR</w:t>
            </w:r>
            <w:r>
              <w:rPr>
                <w:sz w:val="14"/>
              </w:rPr>
              <w:br/>
              <w:t>COI: None</w:t>
            </w:r>
          </w:p>
        </w:tc>
      </w:tr>
      <w:tr w:rsidR="00FF4F00" w14:paraId="24D6EF2F"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E585E" w14:textId="77777777" w:rsidR="00FF4F00" w:rsidRDefault="00794277">
            <w:r>
              <w:rPr>
                <w:sz w:val="14"/>
              </w:rPr>
              <w:t>Mills et al., 2024</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0D69B" w14:textId="77777777" w:rsidR="00FF4F00" w:rsidRDefault="00794277">
            <w:r>
              <w:rPr>
                <w:sz w:val="14"/>
              </w:rPr>
              <w:t>USA, 1 center</w:t>
            </w:r>
            <w:r>
              <w:rPr>
                <w:sz w:val="14"/>
              </w:rPr>
              <w:br/>
              <w:t>(Boston Children's Hospital, CICU)</w:t>
            </w:r>
            <w:r>
              <w:rPr>
                <w:sz w:val="14"/>
              </w:rPr>
              <w:br/>
              <w:t>(SUPPRESS-CHD; NCT03667703)</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5C496" w14:textId="77777777" w:rsidR="00FF4F00" w:rsidRDefault="00794277">
            <w:r>
              <w:rPr>
                <w:sz w:val="14"/>
              </w:rPr>
              <w:t>Double-blind, placebo-controlled, pilot RCT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B384E3" w14:textId="77777777" w:rsidR="00FF4F00" w:rsidRDefault="00794277">
            <w:r>
              <w:rPr>
                <w:sz w:val="14"/>
              </w:rPr>
              <w:t>Infants &lt;12 mo with CHD in CICU requiring respiratory support &gt;24h; excluded: prior AST &gt;7 days, active GIB, H. pylori, high-dose steroids, ECMO/VAD</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DBC80" w14:textId="77777777" w:rsidR="00FF4F00" w:rsidRDefault="00794277">
            <w:r>
              <w:rPr>
                <w:sz w:val="14"/>
              </w:rPr>
              <w:t>H2RA: 34</w:t>
            </w:r>
            <w:r>
              <w:rPr>
                <w:sz w:val="14"/>
              </w:rPr>
              <w:br/>
              <w:t>Placebo: 34</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551A5" w14:textId="77777777" w:rsidR="00FF4F00" w:rsidRDefault="00794277">
            <w:r>
              <w:rPr>
                <w:sz w:val="14"/>
              </w:rPr>
              <w:t>Median 1.2 mo (IQR 0.1–4.0) overall</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89E3EE" w14:textId="77777777" w:rsidR="00FF4F00" w:rsidRDefault="00794277">
            <w:r>
              <w:rPr>
                <w:sz w:val="14"/>
              </w:rPr>
              <w:t>H2RA: ranitidine (Feb 2019–Apr 2020), then famotidine (after FDA recall);</w:t>
            </w:r>
            <w:r>
              <w:rPr>
                <w:sz w:val="14"/>
              </w:rPr>
              <w:br/>
              <w:t>IV or enteral (PO/NG)</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A1C1E" w14:textId="77777777" w:rsidR="00FF4F00" w:rsidRDefault="00794277">
            <w:r>
              <w:rPr>
                <w:sz w:val="14"/>
              </w:rPr>
              <w:t>Ranitidine: neonates 1 mg/kg q12h; infants ≥31d 1 mg/kg q8h IV or 2 mg/kg q12h PO.</w:t>
            </w:r>
            <w:r>
              <w:rPr>
                <w:sz w:val="14"/>
              </w:rPr>
              <w:br/>
              <w:t>Famotidine: &lt;3 mo 0.5 mg/kg daily; ≥3 mo 0.25 mg/kg q12h IV.</w:t>
            </w:r>
            <w:r>
              <w:rPr>
                <w:sz w:val="14"/>
              </w:rPr>
              <w:br/>
              <w:t>Until respiratory support cessation or 14 days; median 3 days (IQR 2–6)</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159201" w14:textId="77777777" w:rsidR="00FF4F00" w:rsidRDefault="00794277">
            <w:r>
              <w:rPr>
                <w:sz w:val="14"/>
              </w:rPr>
              <w:t>Placebo (0.9% NaCl IV; Ora-Plus or stevioside syrup enteral)</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8EE171" w14:textId="6BACDD89" w:rsidR="00FF4F00" w:rsidRPr="0005599F" w:rsidRDefault="005F12D6">
            <w:pPr>
              <w:rPr>
                <w:sz w:val="14"/>
              </w:rPr>
            </w:pPr>
            <w:r>
              <w:rPr>
                <w:sz w:val="14"/>
              </w:rPr>
              <w:t>any-UGIB(2/34 vs 3/34)</w:t>
            </w:r>
            <w:r>
              <w:rPr>
                <w:sz w:val="14"/>
              </w:rPr>
              <w:br/>
              <w:t>Clinically significant gastrointestinal bleeding: 0/34 vs 0/34</w:t>
            </w:r>
            <w:r>
              <w:rPr>
                <w:sz w:val="14"/>
              </w:rPr>
              <w:br/>
              <w:t>Mortality (28-day): 0/34 vs 1/34 (P=1.00)</w:t>
            </w:r>
            <w:r>
              <w:rPr>
                <w:sz w:val="14"/>
              </w:rPr>
              <w:br/>
              <w:t>VAP: 0/34 vs 0/34</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B84EA" w14:textId="77777777" w:rsidR="00FF4F00" w:rsidRDefault="00794277">
            <w:r>
              <w:rPr>
                <w:sz w:val="14"/>
              </w:rPr>
              <w:t>Funding: Gerber Foundation, NIH</w:t>
            </w:r>
            <w:r>
              <w:rPr>
                <w:sz w:val="14"/>
              </w:rPr>
              <w:br/>
              <w:t>COI: Multiple authors (Pfizer, Daiichi-Sankyo, BMS, Novartis, Takeda)</w:t>
            </w:r>
          </w:p>
        </w:tc>
      </w:tr>
      <w:tr w:rsidR="00FF4F00" w14:paraId="139F9A24"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2A04F" w14:textId="77777777" w:rsidR="00FF4F00" w:rsidRDefault="00794277">
            <w:r>
              <w:rPr>
                <w:sz w:val="14"/>
              </w:rPr>
              <w:t xml:space="preserve">Lacroix et al., </w:t>
            </w:r>
            <w:r>
              <w:rPr>
                <w:sz w:val="14"/>
              </w:rPr>
              <w:lastRenderedPageBreak/>
              <w:t>1986</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ECE66B" w14:textId="77777777" w:rsidR="00FF4F00" w:rsidRDefault="00794277">
            <w:r>
              <w:rPr>
                <w:sz w:val="14"/>
              </w:rPr>
              <w:lastRenderedPageBreak/>
              <w:t>Canada, 1 center</w:t>
            </w:r>
            <w:r>
              <w:rPr>
                <w:sz w:val="14"/>
              </w:rPr>
              <w:br/>
            </w:r>
            <w:r>
              <w:rPr>
                <w:sz w:val="14"/>
              </w:rPr>
              <w:lastRenderedPageBreak/>
              <w:t>(Hôpital Sainte-Justine, Montreal)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506A0B" w14:textId="77777777" w:rsidR="00FF4F00" w:rsidRDefault="00794277">
            <w:r>
              <w:rPr>
                <w:sz w:val="14"/>
              </w:rPr>
              <w:lastRenderedPageBreak/>
              <w:t xml:space="preserve">Double-blind, </w:t>
            </w:r>
            <w:r>
              <w:rPr>
                <w:sz w:val="14"/>
              </w:rPr>
              <w:lastRenderedPageBreak/>
              <w:t>placebo-controlled RCT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0F34C" w14:textId="77777777" w:rsidR="00FF4F00" w:rsidRDefault="00794277">
            <w:r>
              <w:rPr>
                <w:sz w:val="14"/>
              </w:rPr>
              <w:lastRenderedPageBreak/>
              <w:t xml:space="preserve">Children birth–18 yr in </w:t>
            </w:r>
            <w:r>
              <w:rPr>
                <w:sz w:val="14"/>
              </w:rPr>
              <w:lastRenderedPageBreak/>
              <w:t>PICU; illness severe enough to preclude oral/enteral nutrition ≥2 days; excluded: PICU admission &gt;24h prior, burns, weight &lt;2.5 kg, GIB at admission, congenital cardiac disease</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29980" w14:textId="77777777" w:rsidR="00FF4F00" w:rsidRDefault="00794277">
            <w:r>
              <w:rPr>
                <w:sz w:val="14"/>
              </w:rPr>
              <w:lastRenderedPageBreak/>
              <w:t xml:space="preserve">Cimetidine: </w:t>
            </w:r>
            <w:r>
              <w:rPr>
                <w:sz w:val="14"/>
              </w:rPr>
              <w:lastRenderedPageBreak/>
              <w:t>19</w:t>
            </w:r>
            <w:r>
              <w:rPr>
                <w:sz w:val="14"/>
              </w:rPr>
              <w:br/>
              <w:t>Placebo: 21</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7BD1B" w14:textId="77777777" w:rsidR="00FF4F00" w:rsidRDefault="00794277">
            <w:r>
              <w:rPr>
                <w:sz w:val="14"/>
              </w:rPr>
              <w:lastRenderedPageBreak/>
              <w:t xml:space="preserve">Mean 1.59 </w:t>
            </w:r>
            <w:r>
              <w:rPr>
                <w:sz w:val="14"/>
              </w:rPr>
              <w:lastRenderedPageBreak/>
              <w:t>± 3.0 yr vs 2.13 ± 3.4 yr;</w:t>
            </w:r>
            <w:r>
              <w:rPr>
                <w:sz w:val="14"/>
              </w:rPr>
              <w:br/>
              <w:t>range 10 days–14.5 years</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EAD85" w14:textId="77777777" w:rsidR="00FF4F00" w:rsidRDefault="00794277">
            <w:r>
              <w:rPr>
                <w:sz w:val="14"/>
              </w:rPr>
              <w:lastRenderedPageBreak/>
              <w:t>Cimetidine, IV</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C392B1" w14:textId="77777777" w:rsidR="00FF4F00" w:rsidRDefault="00794277">
            <w:r>
              <w:rPr>
                <w:sz w:val="14"/>
              </w:rPr>
              <w:t xml:space="preserve">20 mg/kg/day (max </w:t>
            </w:r>
            <w:r>
              <w:rPr>
                <w:sz w:val="14"/>
              </w:rPr>
              <w:lastRenderedPageBreak/>
              <w:t>1,000 mg/day) ÷4 doses q6h IV;</w:t>
            </w:r>
            <w:r>
              <w:rPr>
                <w:sz w:val="14"/>
              </w:rPr>
              <w:br/>
              <w:t>within 1h of PICU admission;</w:t>
            </w:r>
            <w:r>
              <w:rPr>
                <w:sz w:val="14"/>
              </w:rPr>
              <w:br/>
              <w:t>up to 10 days</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F862A" w14:textId="77777777" w:rsidR="00FF4F00" w:rsidRDefault="00794277">
            <w:r>
              <w:rPr>
                <w:sz w:val="14"/>
              </w:rPr>
              <w:lastRenderedPageBreak/>
              <w:t xml:space="preserve">Placebo </w:t>
            </w:r>
            <w:r>
              <w:rPr>
                <w:sz w:val="14"/>
              </w:rPr>
              <w:lastRenderedPageBreak/>
              <w:t>(matching IV solution)</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2AC862" w14:textId="77777777" w:rsidR="00FF4F00" w:rsidRDefault="00794277">
            <w:r>
              <w:rPr>
                <w:sz w:val="14"/>
              </w:rPr>
              <w:lastRenderedPageBreak/>
              <w:t>GIB: 9/19 vs 8/21 (P=0.81)</w:t>
            </w:r>
            <w:r>
              <w:rPr>
                <w:sz w:val="14"/>
              </w:rPr>
              <w:br/>
            </w:r>
            <w:r>
              <w:rPr>
                <w:sz w:val="14"/>
              </w:rPr>
              <w:lastRenderedPageBreak/>
              <w:t>Clinically significant gastrointestinal bleeding (massive UGIB): 5 patients with DIC (group NR)</w:t>
            </w:r>
            <w:r>
              <w:rPr>
                <w:sz w:val="14"/>
              </w:rPr>
              <w:br/>
              <w:t>Mortality: 2 deaths total, unrelated to GIB (group NR)</w:t>
            </w:r>
            <w:r>
              <w:rPr>
                <w:sz w:val="14"/>
              </w:rPr>
              <w:br/>
              <w:t>VAP: NR</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62A3F" w14:textId="77777777" w:rsidR="00FF4F00" w:rsidRDefault="00794277">
            <w:r>
              <w:rPr>
                <w:sz w:val="14"/>
              </w:rPr>
              <w:lastRenderedPageBreak/>
              <w:t xml:space="preserve">Funding: </w:t>
            </w:r>
            <w:r>
              <w:rPr>
                <w:sz w:val="14"/>
              </w:rPr>
              <w:lastRenderedPageBreak/>
              <w:t>Drug provided by Smith Kline &amp; French</w:t>
            </w:r>
            <w:r>
              <w:rPr>
                <w:sz w:val="14"/>
              </w:rPr>
              <w:br/>
              <w:t>COI: NR</w:t>
            </w:r>
          </w:p>
        </w:tc>
      </w:tr>
      <w:tr w:rsidR="00FF4F00" w14:paraId="404E6EBC"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91617" w14:textId="77777777" w:rsidR="00FF4F00" w:rsidRDefault="00794277">
            <w:r>
              <w:rPr>
                <w:sz w:val="14"/>
              </w:rPr>
              <w:lastRenderedPageBreak/>
              <w:t>Eddleston et al., 1989</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16757" w14:textId="77777777" w:rsidR="00FF4F00" w:rsidRDefault="00794277">
            <w:r>
              <w:rPr>
                <w:sz w:val="14"/>
              </w:rPr>
              <w:t>UK, 1 center</w:t>
            </w:r>
            <w:r>
              <w:rPr>
                <w:sz w:val="14"/>
              </w:rPr>
              <w:br/>
              <w:t>(Royal Liverpool Children's Hospital)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E65F87" w14:textId="77777777" w:rsidR="00FF4F00" w:rsidRDefault="00794277">
            <w:r>
              <w:rPr>
                <w:sz w:val="14"/>
              </w:rPr>
              <w:t>RCT, 3-arm</w:t>
            </w:r>
            <w:r>
              <w:rPr>
                <w:sz w:val="14"/>
              </w:rPr>
              <w:br/>
              <w:t>(2 dose levels vs control)</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EB9F99" w14:textId="77777777" w:rsidR="00FF4F00" w:rsidRDefault="00794277">
            <w:r>
              <w:rPr>
                <w:sz w:val="14"/>
              </w:rPr>
              <w:t>Children 6 wk–10 yr undergoing CPB for CHD; excluded: renal impairment (creatinine &gt;150 µmol/L), liver impairment, atopy, pulmonary vascular resistance index &gt;5 dyne·sec/cm⁵·m²</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69D74" w14:textId="77777777" w:rsidR="00FF4F00" w:rsidRDefault="00794277">
            <w:r>
              <w:rPr>
                <w:sz w:val="14"/>
              </w:rPr>
              <w:t>Low-dose: 20</w:t>
            </w:r>
            <w:r>
              <w:rPr>
                <w:sz w:val="14"/>
              </w:rPr>
              <w:br/>
              <w:t>High-dose: 20</w:t>
            </w:r>
            <w:r>
              <w:rPr>
                <w:sz w:val="14"/>
              </w:rPr>
              <w:br/>
              <w:t>Control: 20</w:t>
            </w:r>
            <w:r>
              <w:rPr>
                <w:sz w:val="14"/>
              </w:rPr>
              <w:br/>
              <w:t>(N=60)</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3420F" w14:textId="77777777" w:rsidR="00FF4F00" w:rsidRDefault="00794277">
            <w:r>
              <w:rPr>
                <w:sz w:val="14"/>
              </w:rPr>
              <w:t>Group A: 39.6 ± 9.4 mo</w:t>
            </w:r>
            <w:r>
              <w:rPr>
                <w:sz w:val="14"/>
              </w:rPr>
              <w:br/>
              <w:t>Group B: 34.5 ± 8.6 mo</w:t>
            </w:r>
            <w:r>
              <w:rPr>
                <w:sz w:val="14"/>
              </w:rPr>
              <w:br/>
              <w:t>Group C: 50.3 ± 6.8 mo</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A07E6" w14:textId="77777777" w:rsidR="00FF4F00" w:rsidRDefault="00794277">
            <w:r>
              <w:rPr>
                <w:sz w:val="14"/>
              </w:rPr>
              <w:t>Ranitidine, IV continuous infusion</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BDE336" w14:textId="0EBCCE9D" w:rsidR="00FF4F00" w:rsidRDefault="00794277">
            <w:r>
              <w:rPr>
                <w:sz w:val="14"/>
              </w:rPr>
              <w:t>Group B: 0.1 mg/kg</w:t>
            </w:r>
            <w:r>
              <w:rPr>
                <w:rFonts w:hint="eastAsia"/>
                <w:sz w:val="14"/>
                <w:lang w:eastAsia="ja-JP"/>
              </w:rPr>
              <w:t>/</w:t>
            </w:r>
            <w:r>
              <w:rPr>
                <w:sz w:val="14"/>
              </w:rPr>
              <w:t>h IV;</w:t>
            </w:r>
            <w:r>
              <w:rPr>
                <w:sz w:val="14"/>
              </w:rPr>
              <w:br/>
              <w:t>Group C: 0.2 mg/kg</w:t>
            </w:r>
            <w:r>
              <w:rPr>
                <w:rFonts w:hint="eastAsia"/>
                <w:sz w:val="14"/>
                <w:lang w:eastAsia="ja-JP"/>
              </w:rPr>
              <w:t>/</w:t>
            </w:r>
            <w:r>
              <w:rPr>
                <w:sz w:val="14"/>
              </w:rPr>
              <w:t>h IV;</w:t>
            </w:r>
            <w:r>
              <w:rPr>
                <w:sz w:val="14"/>
              </w:rPr>
              <w:br/>
              <w:t>from anesthesia induction through first 24h post-surgery</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27499" w14:textId="77777777" w:rsidR="00FF4F00" w:rsidRDefault="00794277">
            <w:r>
              <w:rPr>
                <w:sz w:val="14"/>
              </w:rPr>
              <w:t>No treatment (Group A)</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118EC" w14:textId="77777777" w:rsidR="00FF4F00" w:rsidRDefault="00794277">
            <w:pPr>
              <w:rPr>
                <w:sz w:val="14"/>
              </w:rPr>
            </w:pPr>
            <w:r>
              <w:rPr>
                <w:sz w:val="14"/>
              </w:rPr>
              <w:t>GIB (blood in gastric aspirate &gt;3h post-CPB): A 82% / B 90% / C 95% (NSD)</w:t>
            </w:r>
            <w:r>
              <w:rPr>
                <w:sz w:val="14"/>
              </w:rPr>
              <w:br/>
              <w:t>Clinically significant gastrointestinal bleeding: NR</w:t>
            </w:r>
            <w:r>
              <w:rPr>
                <w:sz w:val="14"/>
              </w:rPr>
              <w:br/>
              <w:t>Mortality: NR</w:t>
            </w:r>
            <w:r>
              <w:rPr>
                <w:sz w:val="14"/>
              </w:rPr>
              <w:br/>
              <w:t>VAP: NR</w:t>
            </w:r>
            <w:r>
              <w:rPr>
                <w:sz w:val="14"/>
              </w:rPr>
              <w:br/>
              <w:t>(Primary outcome: gastric pH; both ranitidine groups reduced acid vs control, P&lt;0.001)</w:t>
            </w:r>
          </w:p>
          <w:p w14:paraId="48FFCD3A" w14:textId="0814C282" w:rsidR="00922F8B" w:rsidRPr="00922F8B" w:rsidRDefault="00922F8B">
            <w:pPr>
              <w:rPr>
                <w:sz w:val="14"/>
                <w:szCs w:val="14"/>
              </w:rPr>
            </w:pPr>
            <w:r>
              <w:rPr>
                <w:sz w:val="14"/>
                <w:szCs w:val="14"/>
              </w:rPr>
              <w:t>Excluded from all quantitative syntheses; see Appendix 8</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70F407" w14:textId="77777777" w:rsidR="00FF4F00" w:rsidRDefault="00794277">
            <w:r>
              <w:rPr>
                <w:sz w:val="14"/>
              </w:rPr>
              <w:t>Funding: Ranitidine assay by Glaxo</w:t>
            </w:r>
            <w:r>
              <w:rPr>
                <w:sz w:val="14"/>
              </w:rPr>
              <w:br/>
              <w:t>COI: NR</w:t>
            </w:r>
          </w:p>
        </w:tc>
      </w:tr>
      <w:tr w:rsidR="00FF4F00" w14:paraId="7E9B9BE7"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AF2FF" w14:textId="77777777" w:rsidR="00FF4F00" w:rsidRDefault="00794277">
            <w:r>
              <w:rPr>
                <w:sz w:val="14"/>
              </w:rPr>
              <w:t>López-Herce et al., 1992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48EC2B" w14:textId="77777777" w:rsidR="00FF4F00" w:rsidRDefault="00794277">
            <w:r>
              <w:rPr>
                <w:sz w:val="14"/>
              </w:rPr>
              <w:t>Spain, 1 center</w:t>
            </w:r>
            <w:r>
              <w:rPr>
                <w:sz w:val="14"/>
              </w:rPr>
              <w:br/>
              <w:t>(La Paz Children's Hospital, Madrid)</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8E4B1" w14:textId="77777777" w:rsidR="00FF4F00" w:rsidRDefault="00794277">
            <w:r>
              <w:rPr>
                <w:sz w:val="14"/>
              </w:rPr>
              <w:t>Prospective RCT, 4-arm</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A478C" w14:textId="77777777" w:rsidR="00FF4F00" w:rsidRDefault="00794277">
            <w:r>
              <w:rPr>
                <w:sz w:val="14"/>
              </w:rPr>
              <w:t>Critically ill PICU patients with ≥1 UGIB risk factor admitted June 1986–June 1988; excluded if nasal/pharyngeal bleeding interfered with GIB assessment</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79942" w14:textId="77777777" w:rsidR="00FF4F00" w:rsidRDefault="00794277">
            <w:r>
              <w:rPr>
                <w:sz w:val="14"/>
              </w:rPr>
              <w:t>Control: 35</w:t>
            </w:r>
            <w:r>
              <w:rPr>
                <w:sz w:val="14"/>
              </w:rPr>
              <w:br/>
              <w:t>Almagate: 35</w:t>
            </w:r>
            <w:r>
              <w:rPr>
                <w:sz w:val="14"/>
              </w:rPr>
              <w:br/>
              <w:t>Ranitidine: 35</w:t>
            </w:r>
            <w:r>
              <w:rPr>
                <w:sz w:val="14"/>
              </w:rPr>
              <w:br/>
              <w:t>Sucralfate: 35</w:t>
            </w:r>
            <w:r>
              <w:rPr>
                <w:sz w:val="14"/>
              </w:rPr>
              <w:br/>
              <w:t>(N=140)</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F32D2" w14:textId="77777777" w:rsidR="00FF4F00" w:rsidRDefault="00794277">
            <w:r>
              <w:rPr>
                <w:sz w:val="14"/>
              </w:rPr>
              <w:t>Mean 4.6 yr (range newborn–20 yr);</w:t>
            </w:r>
            <w:r>
              <w:rPr>
                <w:sz w:val="14"/>
              </w:rPr>
              <w:br/>
              <w:t>no significant difference between groups</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7D84D3" w14:textId="77777777" w:rsidR="00FF4F00" w:rsidRDefault="00794277">
            <w:r>
              <w:rPr>
                <w:sz w:val="14"/>
              </w:rPr>
              <w:t>Almagate (antacid, NG);</w:t>
            </w:r>
            <w:r>
              <w:rPr>
                <w:sz w:val="14"/>
              </w:rPr>
              <w:br/>
              <w:t>Ranitidine (IV);</w:t>
            </w:r>
            <w:r>
              <w:rPr>
                <w:sz w:val="14"/>
              </w:rPr>
              <w:br/>
              <w:t>Sucralfate (NG)</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D40AA" w14:textId="77777777" w:rsidR="00FF4F00" w:rsidRDefault="00794277">
            <w:r>
              <w:rPr>
                <w:sz w:val="14"/>
              </w:rPr>
              <w:t>Almagate 0.25–0.5 mL/kg q2h NG (titrated to gastric pH ≥4);</w:t>
            </w:r>
            <w:r>
              <w:rPr>
                <w:sz w:val="14"/>
              </w:rPr>
              <w:br/>
              <w:t>Ranitidine 1.5 mg/kg q6h IV;</w:t>
            </w:r>
            <w:r>
              <w:rPr>
                <w:sz w:val="14"/>
              </w:rPr>
              <w:br/>
              <w:t>Sucralfate 0.5 g (&lt;10 kg) or 1 g (&gt;10 kg) q6h NG;</w:t>
            </w:r>
            <w:r>
              <w:rPr>
                <w:sz w:val="14"/>
              </w:rPr>
              <w:br/>
              <w:t>until oral feeding resumed</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865B1B" w14:textId="77777777" w:rsidR="00FF4F00" w:rsidRDefault="00794277">
            <w:r>
              <w:rPr>
                <w:sz w:val="14"/>
              </w:rPr>
              <w:t>No treatment</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1C7C5" w14:textId="228488C2" w:rsidR="00FF4F00" w:rsidRPr="00DB7D88" w:rsidRDefault="00DB7D88">
            <w:pPr>
              <w:rPr>
                <w:sz w:val="14"/>
                <w:szCs w:val="14"/>
              </w:rPr>
            </w:pPr>
            <w:r>
              <w:rPr>
                <w:sz w:val="14"/>
                <w:szCs w:val="14"/>
              </w:rPr>
              <w:t>Important GIB (= clinically significant gastrointestinal bleeding): Cotrol 7/35 / Almagate 2/35 / Ranitidine 3/35 / Sucralfate 1/35 (P&lt;0.01); combined 6/105 vs. 7/35. Any UGIB at arm level: not reported. Mortality: 18/140 (12.8%) overall; NSD; arm-level not reported. VAP: 5 cases total; NSD; arm-level not reported. Included in clinically significant gastrointestinal bleeding analysis only; excluded from UGIB primary analysis (see Appendix 8, Section 1).</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3991D0" w14:textId="77777777" w:rsidR="00FF4F00" w:rsidRDefault="00794277">
            <w:r>
              <w:rPr>
                <w:sz w:val="14"/>
              </w:rPr>
              <w:t>Funding: Almirall, Glaxo, Merck (study drugs)</w:t>
            </w:r>
            <w:r>
              <w:rPr>
                <w:sz w:val="14"/>
              </w:rPr>
              <w:br/>
              <w:t>COI: NR</w:t>
            </w:r>
          </w:p>
        </w:tc>
      </w:tr>
      <w:tr w:rsidR="00ED2D4E" w14:paraId="451616D0" w14:textId="77777777">
        <w:tc>
          <w:tcPr>
            <w:tcW w:w="13657" w:type="dxa"/>
            <w:gridSpan w:val="11"/>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18671179" w14:textId="77777777" w:rsidR="00ED2D4E" w:rsidRDefault="00EF31A7">
            <w:pPr>
              <w:rPr>
                <w:b/>
                <w:sz w:val="16"/>
              </w:rPr>
            </w:pPr>
            <w:r>
              <w:rPr>
                <w:b/>
                <w:sz w:val="16"/>
              </w:rPr>
              <w:t>Observational studies (n = 11; all rated critical risk of bias on ROBINS-I V2 and excluded from all quantitative syntheses)</w:t>
            </w:r>
          </w:p>
        </w:tc>
      </w:tr>
      <w:tr w:rsidR="00FF4F00" w14:paraId="5D97B49E"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6E043" w14:textId="77777777" w:rsidR="00FF4F00" w:rsidRDefault="00794277">
            <w:r>
              <w:rPr>
                <w:sz w:val="14"/>
              </w:rPr>
              <w:t>Lacroix et al., 1992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64AD9" w14:textId="77777777" w:rsidR="00FF4F00" w:rsidRDefault="00794277">
            <w:r>
              <w:rPr>
                <w:sz w:val="14"/>
              </w:rPr>
              <w:t>Canada, 1 center</w:t>
            </w:r>
            <w:r>
              <w:rPr>
                <w:sz w:val="14"/>
              </w:rPr>
              <w:br/>
              <w:t>(Sainte-Justine Hospital, Montreal)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23EDF" w14:textId="77777777" w:rsidR="00FF4F00" w:rsidRDefault="00794277">
            <w:r>
              <w:rPr>
                <w:sz w:val="14"/>
              </w:rPr>
              <w:t>Prospective observational (descriptive)</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2DB42" w14:textId="77777777" w:rsidR="00FF4F00" w:rsidRDefault="00794277">
            <w:r>
              <w:rPr>
                <w:sz w:val="14"/>
              </w:rPr>
              <w:t>Children admitted to PICU July 1988–Aug 1989; excluded: newborns, age &gt;18 yr, UGI bleeding within 5 days, first stay &lt;3 days, post-GI surgery, active nose/throat bleeding</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62628B" w14:textId="77777777" w:rsidR="00FF4F00" w:rsidRDefault="00794277">
            <w:r>
              <w:rPr>
                <w:sz w:val="14"/>
              </w:rPr>
              <w:t>N=984</w:t>
            </w:r>
            <w:r>
              <w:rPr>
                <w:sz w:val="14"/>
              </w:rPr>
              <w:br/>
              <w:t>(No prophylaxis: 698</w:t>
            </w:r>
            <w:r>
              <w:rPr>
                <w:sz w:val="14"/>
              </w:rPr>
              <w:br/>
              <w:t>Some prophylaxis: 286)</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B5A17" w14:textId="77777777" w:rsidR="00FF4F00" w:rsidRDefault="00794277">
            <w:r>
              <w:rPr>
                <w:sz w:val="14"/>
              </w:rPr>
              <w:t>Mean 62.6 mo ±2.05 SE</w:t>
            </w:r>
            <w:r>
              <w:rPr>
                <w:sz w:val="14"/>
              </w:rPr>
              <w:br/>
              <w:t>(median 34.9 mo)</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6C1E43" w14:textId="77777777" w:rsidR="00FF4F00" w:rsidRDefault="00794277">
            <w:r>
              <w:rPr>
                <w:sz w:val="14"/>
              </w:rPr>
              <w:t>Variable ad hoc: antacids, H2RA, sucralfate</w:t>
            </w:r>
            <w:r>
              <w:rPr>
                <w:sz w:val="14"/>
              </w:rPr>
              <w:br/>
              <w:t>(physician-driven, no protocol)</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D1DE8F" w14:textId="77777777" w:rsidR="00FF4F00" w:rsidRDefault="00794277">
            <w:r>
              <w:rPr>
                <w:sz w:val="14"/>
              </w:rPr>
              <w:t>Antacids: 2 mL q2h when used;</w:t>
            </w:r>
            <w:r>
              <w:rPr>
                <w:sz w:val="14"/>
              </w:rPr>
              <w:br/>
              <w:t>H2RA/sucralfate: variable;</w:t>
            </w:r>
            <w:r>
              <w:rPr>
                <w:sz w:val="14"/>
              </w:rPr>
              <w:br/>
              <w:t>duration variable</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3F534" w14:textId="77777777" w:rsidR="00FF4F00" w:rsidRDefault="00794277">
            <w:r>
              <w:rPr>
                <w:sz w:val="14"/>
              </w:rPr>
              <w:t>Observational</w:t>
            </w:r>
            <w:r>
              <w:rPr>
                <w:sz w:val="14"/>
              </w:rPr>
              <w:br/>
              <w:t>(no formal comparator)</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2C341" w14:textId="77777777" w:rsidR="00FF4F00" w:rsidRDefault="00794277">
            <w:r>
              <w:rPr>
                <w:sz w:val="14"/>
              </w:rPr>
              <w:t>GIB (overt): no Rx 36/698 (5.2%) vs SUP 27/286 (9.4%)</w:t>
            </w:r>
            <w:r>
              <w:rPr>
                <w:sz w:val="14"/>
              </w:rPr>
              <w:br/>
              <w:t>Clinically significant gastrointestinal bleeding: no Rx 0/698 (0%) vs SUP 4/286 (1.4%)</w:t>
            </w:r>
            <w:r>
              <w:rPr>
                <w:sz w:val="14"/>
              </w:rPr>
              <w:br/>
              <w:t>Mortality: bleeders 6.4% vs non-bleeders 4.8% (P=0.83)</w:t>
            </w:r>
            <w:r>
              <w:rPr>
                <w:sz w:val="14"/>
              </w:rPr>
              <w:br/>
              <w:t>VAP: NR</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3955A7" w14:textId="77777777" w:rsidR="00FF4F00" w:rsidRDefault="00794277">
            <w:r>
              <w:rPr>
                <w:sz w:val="14"/>
              </w:rPr>
              <w:t>Funding: InterService Drake Council</w:t>
            </w:r>
            <w:r>
              <w:rPr>
                <w:sz w:val="14"/>
              </w:rPr>
              <w:br/>
              <w:t>COI: NR</w:t>
            </w:r>
          </w:p>
        </w:tc>
      </w:tr>
      <w:tr w:rsidR="00FF4F00" w14:paraId="73759CD8"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F90025" w14:textId="77777777" w:rsidR="00FF4F00" w:rsidRDefault="00794277">
            <w:r>
              <w:rPr>
                <w:sz w:val="14"/>
              </w:rPr>
              <w:t>Behrens et al., 1994</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750C0" w14:textId="77777777" w:rsidR="00FF4F00" w:rsidRDefault="00794277">
            <w:r>
              <w:rPr>
                <w:sz w:val="14"/>
              </w:rPr>
              <w:t>Germany, 1 center</w:t>
            </w:r>
            <w:r>
              <w:rPr>
                <w:sz w:val="14"/>
              </w:rPr>
              <w:br/>
              <w:t>(University Children's Hospital, Erlangen)</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31B044" w14:textId="77777777" w:rsidR="00FF4F00" w:rsidRDefault="00794277">
            <w:r>
              <w:rPr>
                <w:sz w:val="14"/>
              </w:rPr>
              <w:t>Prospective comparative study (non-randomized)</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3E45D" w14:textId="77777777" w:rsidR="00FF4F00" w:rsidRDefault="00794277">
            <w:r>
              <w:rPr>
                <w:sz w:val="14"/>
              </w:rPr>
              <w:t>Infants and children undergoing corrective or palliative surgery for CHD; excluded: simple operations, renal/liver impairment; Oct 1988–Nov 1991</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C9E72" w14:textId="77777777" w:rsidR="00FF4F00" w:rsidRDefault="00794277">
            <w:r>
              <w:rPr>
                <w:sz w:val="14"/>
              </w:rPr>
              <w:t>N=79</w:t>
            </w:r>
            <w:r>
              <w:rPr>
                <w:sz w:val="14"/>
              </w:rPr>
              <w:br/>
              <w:t>(No prophylaxis: 36</w:t>
            </w:r>
            <w:r>
              <w:rPr>
                <w:sz w:val="14"/>
              </w:rPr>
              <w:br/>
              <w:t>Pirenzepine: 21</w:t>
            </w:r>
            <w:r>
              <w:rPr>
                <w:sz w:val="14"/>
              </w:rPr>
              <w:br/>
              <w:t>Famotidine: 22)</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777361" w14:textId="77777777" w:rsidR="00FF4F00" w:rsidRDefault="00794277">
            <w:r>
              <w:rPr>
                <w:sz w:val="14"/>
              </w:rPr>
              <w:t>No prophylaxis: mean 3.12 yr</w:t>
            </w:r>
            <w:r>
              <w:rPr>
                <w:sz w:val="14"/>
              </w:rPr>
              <w:br/>
              <w:t>(range 10 days–19.9 yr)</w:t>
            </w:r>
            <w:r>
              <w:rPr>
                <w:sz w:val="14"/>
              </w:rPr>
              <w:br/>
              <w:t>Prophylaxis: mean 2.62 yr</w:t>
            </w:r>
            <w:r>
              <w:rPr>
                <w:sz w:val="14"/>
              </w:rPr>
              <w:br/>
              <w:t>(range 35 days–9.85 yr)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91FC4D" w14:textId="77777777" w:rsidR="00FF4F00" w:rsidRDefault="00794277">
            <w:r>
              <w:rPr>
                <w:sz w:val="14"/>
              </w:rPr>
              <w:t>Pirenzepine (anticholinergic), IV;</w:t>
            </w:r>
            <w:r>
              <w:rPr>
                <w:sz w:val="14"/>
              </w:rPr>
              <w:br/>
              <w:t>Famotidine (H2RA), IV</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8C1F4" w14:textId="77777777" w:rsidR="00FF4F00" w:rsidRDefault="00794277">
            <w:r>
              <w:rPr>
                <w:sz w:val="14"/>
              </w:rPr>
              <w:t>Both: 1 mg/kg/day IV;</w:t>
            </w:r>
            <w:r>
              <w:rPr>
                <w:sz w:val="14"/>
              </w:rPr>
              <w:br/>
              <w:t>reduced to 0.5 mg/kg/day if creatinine &gt;3 mg/dL;</w:t>
            </w:r>
            <w:r>
              <w:rPr>
                <w:sz w:val="14"/>
              </w:rPr>
              <w:br/>
              <w:t>until fully fed by mouth</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59F62" w14:textId="77777777" w:rsidR="00FF4F00" w:rsidRDefault="00794277">
            <w:r>
              <w:rPr>
                <w:sz w:val="14"/>
              </w:rPr>
              <w:t>No prophylaxis</w:t>
            </w:r>
            <w:r>
              <w:rPr>
                <w:sz w:val="14"/>
              </w:rPr>
              <w:br/>
              <w:t>(Group 1: 36 patients)</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04DA4" w14:textId="77777777" w:rsidR="00FF4F00" w:rsidRDefault="00794277">
            <w:r>
              <w:rPr>
                <w:sz w:val="14"/>
              </w:rPr>
              <w:t>GIB (endoscopic ulceration): no Rx 9/36 (25%) vs prophylaxis 1/43 (2%) (P&lt;0.05)</w:t>
            </w:r>
            <w:r>
              <w:rPr>
                <w:sz w:val="14"/>
              </w:rPr>
              <w:br/>
              <w:t>Clinically significant gastrointestinal bleeding: NR</w:t>
            </w:r>
            <w:r>
              <w:rPr>
                <w:sz w:val="14"/>
              </w:rPr>
              <w:br/>
              <w:t>Mortality: NR</w:t>
            </w:r>
            <w:r>
              <w:rPr>
                <w:sz w:val="14"/>
              </w:rPr>
              <w:br/>
              <w:t>VAP: NR (nosocomial pneumonia: pirenz 1/21, famotidine 0/22; NS)</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F5AA7" w14:textId="77777777" w:rsidR="00FF4F00" w:rsidRDefault="00794277">
            <w:r>
              <w:rPr>
                <w:sz w:val="14"/>
              </w:rPr>
              <w:t>Funding: NR</w:t>
            </w:r>
            <w:r>
              <w:rPr>
                <w:sz w:val="14"/>
              </w:rPr>
              <w:br/>
              <w:t>COI: NR</w:t>
            </w:r>
          </w:p>
        </w:tc>
      </w:tr>
      <w:tr w:rsidR="00FF4F00" w14:paraId="70969F9B"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F050E" w14:textId="77777777" w:rsidR="00FF4F00" w:rsidRDefault="00794277">
            <w:r>
              <w:rPr>
                <w:sz w:val="14"/>
              </w:rPr>
              <w:lastRenderedPageBreak/>
              <w:t>Nithiwathanapong et al., 2005</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41A3DC" w14:textId="77777777" w:rsidR="00FF4F00" w:rsidRDefault="00794277">
            <w:r>
              <w:rPr>
                <w:sz w:val="14"/>
              </w:rPr>
              <w:t>Thailand, 1 center</w:t>
            </w:r>
            <w:r>
              <w:rPr>
                <w:sz w:val="14"/>
              </w:rPr>
              <w:br/>
              <w:t>(Chiang Mai University Hospital)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7E420" w14:textId="77777777" w:rsidR="00FF4F00" w:rsidRDefault="00794277">
            <w:r>
              <w:rPr>
                <w:sz w:val="14"/>
              </w:rPr>
              <w:t>Retrospective observational</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3768C2" w14:textId="77777777" w:rsidR="00FF4F00" w:rsidRDefault="00794277">
            <w:r>
              <w:rPr>
                <w:sz w:val="14"/>
              </w:rPr>
              <w:t>PICU patients aged 1 mo–15 yr, Jan–Dec 2002; excluded: PICU stay &lt;48h, prior GIB history, recent GI surgery, brain death, epistaxis only</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A98BE" w14:textId="77777777" w:rsidR="00FF4F00" w:rsidRDefault="00794277">
            <w:r>
              <w:rPr>
                <w:sz w:val="14"/>
              </w:rPr>
              <w:t>N=170</w:t>
            </w:r>
            <w:r>
              <w:rPr>
                <w:sz w:val="14"/>
              </w:rPr>
              <w:br/>
              <w:t>(Prophylaxis: 25</w:t>
            </w:r>
            <w:r>
              <w:rPr>
                <w:sz w:val="14"/>
              </w:rPr>
              <w:br/>
              <w:t>No prophylaxis: 145)</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288B1" w14:textId="77777777" w:rsidR="00FF4F00" w:rsidRDefault="00794277">
            <w:r>
              <w:rPr>
                <w:sz w:val="14"/>
              </w:rPr>
              <w:t>Mean 3.8 years</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2B5B6" w14:textId="77777777" w:rsidR="00FF4F00" w:rsidRDefault="00794277">
            <w:r>
              <w:rPr>
                <w:sz w:val="14"/>
              </w:rPr>
              <w:t>Ranitidine (oral/NG);</w:t>
            </w:r>
            <w:r>
              <w:rPr>
                <w:sz w:val="14"/>
              </w:rPr>
              <w:br/>
              <w:t>Antacids (oral/NG)</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1BE91" w14:textId="77777777" w:rsidR="00FF4F00" w:rsidRDefault="00794277">
            <w:r>
              <w:rPr>
                <w:sz w:val="14"/>
              </w:rPr>
              <w:t>Ranitidine: 3 mg/kg/day (subtherapeutic; recommended 6 mg/kg/day);</w:t>
            </w:r>
            <w:r>
              <w:rPr>
                <w:sz w:val="14"/>
              </w:rPr>
              <w:br/>
              <w:t>Antacids: dose NR;</w:t>
            </w:r>
            <w:r>
              <w:rPr>
                <w:sz w:val="14"/>
              </w:rPr>
              <w:br/>
              <w:t>duration during PICU stay</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8840A" w14:textId="77777777" w:rsidR="00FF4F00" w:rsidRDefault="00794277">
            <w:r>
              <w:rPr>
                <w:sz w:val="14"/>
              </w:rPr>
              <w:t>No prophylaxis</w:t>
            </w:r>
            <w:r>
              <w:rPr>
                <w:sz w:val="14"/>
              </w:rPr>
              <w:br/>
              <w:t>(145 patients)</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E326C" w14:textId="77777777" w:rsidR="00FF4F00" w:rsidRDefault="00794277">
            <w:r>
              <w:rPr>
                <w:sz w:val="14"/>
              </w:rPr>
              <w:t>GIB (overt): SUP 14/25 (56.0%) vs no Rx 60/145 (41.4%) (P=NS)</w:t>
            </w:r>
            <w:r>
              <w:rPr>
                <w:sz w:val="14"/>
              </w:rPr>
              <w:br/>
              <w:t>Clinically significant gastrointestinal bleeding: SUP 3/25 (12.0%) vs no Rx 6/145 (4.1%)</w:t>
            </w:r>
            <w:r>
              <w:rPr>
                <w:sz w:val="14"/>
              </w:rPr>
              <w:br/>
              <w:t>Mortality: 32/170 (18.8%) overall</w:t>
            </w:r>
            <w:r>
              <w:rPr>
                <w:sz w:val="14"/>
              </w:rPr>
              <w:br/>
              <w:t>VAP: NR</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146D1" w14:textId="77777777" w:rsidR="00FF4F00" w:rsidRDefault="00794277">
            <w:r>
              <w:rPr>
                <w:sz w:val="14"/>
              </w:rPr>
              <w:t>Funding: NR</w:t>
            </w:r>
            <w:r>
              <w:rPr>
                <w:sz w:val="14"/>
              </w:rPr>
              <w:br/>
              <w:t>COI: NR</w:t>
            </w:r>
          </w:p>
        </w:tc>
      </w:tr>
      <w:tr w:rsidR="00FF4F00" w14:paraId="02AEF1FE"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5FBC9" w14:textId="77777777" w:rsidR="00FF4F00" w:rsidRDefault="00794277">
            <w:r>
              <w:rPr>
                <w:sz w:val="14"/>
              </w:rPr>
              <w:t>Lopriore et al., 2002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93F3D" w14:textId="77777777" w:rsidR="00FF4F00" w:rsidRDefault="00794277">
            <w:r>
              <w:rPr>
                <w:sz w:val="14"/>
              </w:rPr>
              <w:t>Netherlands, 1 center</w:t>
            </w:r>
            <w:r>
              <w:rPr>
                <w:sz w:val="14"/>
              </w:rPr>
              <w:br/>
              <w:t>(VU University Medical Centre, Amsterdam)</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BCC3F" w14:textId="77777777" w:rsidR="00FF4F00" w:rsidRDefault="00794277">
            <w:r>
              <w:rPr>
                <w:sz w:val="14"/>
              </w:rPr>
              <w:t>Retrospective cohort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A7527F" w14:textId="77777777" w:rsidR="00FF4F00" w:rsidRDefault="00794277">
            <w:r>
              <w:rPr>
                <w:sz w:val="14"/>
              </w:rPr>
              <w:t>Children mechanically ventilated &gt;48h, 1998–2000; excluded: pneumonia/ARDS within 24h of admission, prior H2B/PPI use within 1 week, acute renal failure</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4A22A" w14:textId="77777777" w:rsidR="00FF4F00" w:rsidRDefault="00794277">
            <w:r>
              <w:rPr>
                <w:sz w:val="14"/>
              </w:rPr>
              <w:t>N=155</w:t>
            </w:r>
            <w:r>
              <w:rPr>
                <w:sz w:val="14"/>
              </w:rPr>
              <w:br/>
              <w:t>(Ranitidine: 54</w:t>
            </w:r>
            <w:r>
              <w:rPr>
                <w:sz w:val="14"/>
              </w:rPr>
              <w:br/>
              <w:t>Sucralfate: 53</w:t>
            </w:r>
            <w:r>
              <w:rPr>
                <w:sz w:val="14"/>
              </w:rPr>
              <w:br/>
              <w:t>No prophylaxis: 48)</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DD870" w14:textId="77777777" w:rsidR="00FF4F00" w:rsidRDefault="00794277">
            <w:r>
              <w:rPr>
                <w:sz w:val="14"/>
              </w:rPr>
              <w:t>Ranitidine: median 4.5 mo</w:t>
            </w:r>
            <w:r>
              <w:rPr>
                <w:sz w:val="14"/>
              </w:rPr>
              <w:br/>
              <w:t>Sucralfate: median 22 mo</w:t>
            </w:r>
            <w:r>
              <w:rPr>
                <w:sz w:val="14"/>
              </w:rPr>
              <w:br/>
              <w:t>No prophylaxis: median 2 mo</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4F67D" w14:textId="77777777" w:rsidR="00FF4F00" w:rsidRDefault="00794277">
            <w:r>
              <w:rPr>
                <w:sz w:val="14"/>
              </w:rPr>
              <w:t>Ranitidine, IV;</w:t>
            </w:r>
            <w:r>
              <w:rPr>
                <w:sz w:val="14"/>
              </w:rPr>
              <w:br/>
              <w:t>Sucralfate, oral</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F0DCEB" w14:textId="77777777" w:rsidR="00FF4F00" w:rsidRDefault="00794277">
            <w:r>
              <w:rPr>
                <w:sz w:val="14"/>
              </w:rPr>
              <w:t>Ranitidine: 2.5–6 mg/kg/day IV b.i.d.;</w:t>
            </w:r>
            <w:r>
              <w:rPr>
                <w:sz w:val="14"/>
              </w:rPr>
              <w:br/>
              <w:t>Sucralfate (by age): 0–1y 50 mg qid, 1–2y 100 mg qid, 2–6y 250 mg qid, 6–12y 500 mg qid, &gt;12y 1000 mg qid;</w:t>
            </w:r>
            <w:r>
              <w:rPr>
                <w:sz w:val="14"/>
              </w:rPr>
              <w:br/>
              <w:t>until 24h after extubation</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581677" w14:textId="77777777" w:rsidR="00FF4F00" w:rsidRDefault="00794277">
            <w:r>
              <w:rPr>
                <w:sz w:val="14"/>
              </w:rPr>
              <w:t>No prophylaxis</w:t>
            </w:r>
            <w:r>
              <w:rPr>
                <w:sz w:val="14"/>
              </w:rPr>
              <w:br/>
              <w:t>(48 patients)</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286B4" w14:textId="77777777" w:rsidR="00FF4F00" w:rsidRDefault="00794277">
            <w:r>
              <w:rPr>
                <w:sz w:val="14"/>
              </w:rPr>
              <w:t>GIB: NR</w:t>
            </w:r>
            <w:r>
              <w:rPr>
                <w:sz w:val="14"/>
              </w:rPr>
              <w:br/>
              <w:t>Clinically significant gastrointestinal bleeding: NR</w:t>
            </w:r>
            <w:r>
              <w:rPr>
                <w:sz w:val="14"/>
              </w:rPr>
              <w:br/>
              <w:t>Mortality: ranitidine 3/54 / sucralfate 3/53 / no Rx 1/48 (P=NS)</w:t>
            </w:r>
            <w:r>
              <w:rPr>
                <w:sz w:val="14"/>
              </w:rPr>
              <w:br/>
              <w:t>VAP: ranitidine 6/54 / sucralfate 4/53 / no Rx 3/48 (P=NS)</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D69F6D" w14:textId="77777777" w:rsidR="00FF4F00" w:rsidRDefault="00794277">
            <w:r>
              <w:rPr>
                <w:sz w:val="14"/>
              </w:rPr>
              <w:t>Funding: NR</w:t>
            </w:r>
            <w:r>
              <w:rPr>
                <w:sz w:val="14"/>
              </w:rPr>
              <w:br/>
              <w:t>COI: NR</w:t>
            </w:r>
          </w:p>
        </w:tc>
      </w:tr>
      <w:tr w:rsidR="00FF4F00" w14:paraId="3DFC4424"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864524" w14:textId="77777777" w:rsidR="00FF4F00" w:rsidRDefault="00794277">
            <w:r>
              <w:rPr>
                <w:sz w:val="14"/>
              </w:rPr>
              <w:t>Abdollahi et al., 2016</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71B79" w14:textId="77777777" w:rsidR="00FF4F00" w:rsidRDefault="00794277">
            <w:r>
              <w:rPr>
                <w:sz w:val="14"/>
              </w:rPr>
              <w:t>Iran, 2 centers</w:t>
            </w:r>
            <w:r>
              <w:rPr>
                <w:sz w:val="14"/>
              </w:rPr>
              <w:br/>
              <w:t>(Imam Reza and Qaem Hospitals, Mashhad)</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5AD91" w14:textId="77777777" w:rsidR="00FF4F00" w:rsidRDefault="00794277">
            <w:r>
              <w:rPr>
                <w:sz w:val="14"/>
              </w:rPr>
              <w:t>Prospective cohort</w:t>
            </w:r>
            <w:r>
              <w:rPr>
                <w:sz w:val="14"/>
              </w:rPr>
              <w:br/>
              <w:t>(historical control)</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605C3F" w14:textId="77777777" w:rsidR="00FF4F00" w:rsidRDefault="00794277">
            <w:r>
              <w:rPr>
                <w:sz w:val="14"/>
              </w:rPr>
              <w:t>PICU patients aged 1 mo–14 yr, Nov 2015–Mar 2016 (experimental); historical control May–Oct 2015</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FA070" w14:textId="77777777" w:rsidR="00FF4F00" w:rsidRDefault="00794277">
            <w:r>
              <w:rPr>
                <w:sz w:val="14"/>
              </w:rPr>
              <w:t>N=204</w:t>
            </w:r>
            <w:r>
              <w:rPr>
                <w:sz w:val="14"/>
              </w:rPr>
              <w:br/>
              <w:t>(Ranitidine: 50</w:t>
            </w:r>
            <w:r>
              <w:rPr>
                <w:sz w:val="14"/>
              </w:rPr>
              <w:br/>
              <w:t>Pantoprazole: 49</w:t>
            </w:r>
            <w:r>
              <w:rPr>
                <w:sz w:val="14"/>
              </w:rPr>
              <w:br/>
              <w:t>Historical control: 105)</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AA5B8" w14:textId="77777777" w:rsidR="00FF4F00" w:rsidRDefault="00794277">
            <w:r>
              <w:rPr>
                <w:sz w:val="14"/>
              </w:rPr>
              <w:t>Range: 1 mo–14 yr</w:t>
            </w:r>
            <w:r>
              <w:rPr>
                <w:sz w:val="14"/>
              </w:rPr>
              <w:br/>
              <w:t>(mean/SD NR)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44871" w14:textId="77777777" w:rsidR="00FF4F00" w:rsidRDefault="00794277">
            <w:r>
              <w:rPr>
                <w:sz w:val="14"/>
              </w:rPr>
              <w:t>Ranitidine, oral/NG;</w:t>
            </w:r>
            <w:r>
              <w:rPr>
                <w:sz w:val="14"/>
              </w:rPr>
              <w:br/>
              <w:t>Pantoprazole, oral/NG</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BE8EA" w14:textId="77777777" w:rsidR="00FF4F00" w:rsidRDefault="00794277">
            <w:r>
              <w:rPr>
                <w:sz w:val="14"/>
              </w:rPr>
              <w:t>Ranitidine 2.5 mg/kg twice daily;</w:t>
            </w:r>
            <w:r>
              <w:rPr>
                <w:sz w:val="14"/>
              </w:rPr>
              <w:br/>
              <w:t>Pantoprazole 1 mg/kg twice daily;</w:t>
            </w:r>
            <w:r>
              <w:rPr>
                <w:sz w:val="14"/>
              </w:rPr>
              <w:br/>
              <w:t>until full enteral feeding</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30A50" w14:textId="77777777" w:rsidR="00FF4F00" w:rsidRDefault="00794277">
            <w:r>
              <w:rPr>
                <w:sz w:val="14"/>
              </w:rPr>
              <w:t>No prophylaxis</w:t>
            </w:r>
            <w:r>
              <w:rPr>
                <w:sz w:val="14"/>
              </w:rPr>
              <w:br/>
              <w:t>(historical control)</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F6677" w14:textId="77777777" w:rsidR="00FF4F00" w:rsidRDefault="00794277">
            <w:r>
              <w:rPr>
                <w:sz w:val="14"/>
              </w:rPr>
              <w:t>GIB: SUP 12/99 (12.0%) vs control 15/105 (14.3%) (P=0.064)</w:t>
            </w:r>
            <w:r>
              <w:rPr>
                <w:sz w:val="14"/>
              </w:rPr>
              <w:br/>
              <w:t>Clinically significant gastrointestinal bleeding: SUP 6/99 (6.0%) vs control 8/105 (7.6%) (P=0.66)</w:t>
            </w:r>
            <w:r>
              <w:rPr>
                <w:sz w:val="14"/>
              </w:rPr>
              <w:br/>
              <w:t>Mortality: NR</w:t>
            </w:r>
            <w:r>
              <w:rPr>
                <w:sz w:val="14"/>
              </w:rPr>
              <w:br/>
              <w:t>VAP: NR (nosocomial pneumonia: SUP 9/99 [9.1%] vs control 0/105 [0%], P=0.001)</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2AE768" w14:textId="77777777" w:rsidR="00FF4F00" w:rsidRDefault="00794277">
            <w:r>
              <w:rPr>
                <w:sz w:val="14"/>
              </w:rPr>
              <w:t>Funding: Mashhad University</w:t>
            </w:r>
            <w:r>
              <w:rPr>
                <w:sz w:val="14"/>
              </w:rPr>
              <w:br/>
              <w:t>COI: None</w:t>
            </w:r>
          </w:p>
        </w:tc>
      </w:tr>
      <w:tr w:rsidR="00FF4F00" w14:paraId="1A631426"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EFE3C" w14:textId="77777777" w:rsidR="00FF4F00" w:rsidRDefault="00794277">
            <w:r>
              <w:rPr>
                <w:sz w:val="14"/>
              </w:rPr>
              <w:t>Sahin et al., 2016</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BFF84" w14:textId="77777777" w:rsidR="00FF4F00" w:rsidRDefault="00794277">
            <w:r>
              <w:rPr>
                <w:sz w:val="14"/>
              </w:rPr>
              <w:t>Turkey, 1 center</w:t>
            </w:r>
            <w:r>
              <w:rPr>
                <w:sz w:val="14"/>
              </w:rPr>
              <w:br/>
              <w:t>(Ankara Children's Hematology Oncology Hospital)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63BDF" w14:textId="77777777" w:rsidR="00FF4F00" w:rsidRDefault="00794277">
            <w:r>
              <w:rPr>
                <w:sz w:val="14"/>
              </w:rPr>
              <w:t>Retrospective observational</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B3E0D0" w14:textId="77777777" w:rsidR="00FF4F00" w:rsidRDefault="00794277">
            <w:r>
              <w:rPr>
                <w:sz w:val="14"/>
              </w:rPr>
              <w:t>182 consecutive PICU admissions, Dec 2012–May 2013; excluded: PICU stay &lt;48h, esophageal/gastric surgery, brain death, active throat bleeding, incomplete records (final N=136)</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43659" w14:textId="77777777" w:rsidR="00FF4F00" w:rsidRDefault="00794277">
            <w:r>
              <w:rPr>
                <w:sz w:val="14"/>
              </w:rPr>
              <w:t>N=136</w:t>
            </w:r>
            <w:r>
              <w:rPr>
                <w:sz w:val="14"/>
              </w:rPr>
              <w:br/>
              <w:t>(Prophylaxis: 61</w:t>
            </w:r>
            <w:r>
              <w:rPr>
                <w:sz w:val="14"/>
              </w:rPr>
              <w:br/>
              <w:t>No prophylaxis: 75)</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5C34E" w14:textId="77777777" w:rsidR="00FF4F00" w:rsidRDefault="00794277">
            <w:r>
              <w:rPr>
                <w:sz w:val="14"/>
              </w:rPr>
              <w:t>Mean 5.9 ± 6 yr</w:t>
            </w:r>
            <w:r>
              <w:rPr>
                <w:sz w:val="14"/>
              </w:rPr>
              <w:br/>
              <w:t>(range 40 days–18 yr;</w:t>
            </w:r>
            <w:r>
              <w:rPr>
                <w:sz w:val="14"/>
              </w:rPr>
              <w:br/>
              <w:t>median 3 yr)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027269" w14:textId="77777777" w:rsidR="00FF4F00" w:rsidRDefault="00794277">
            <w:r>
              <w:rPr>
                <w:sz w:val="14"/>
              </w:rPr>
              <w:t>Multiple agents: antacids, sucralfate, omeprazole/lansoprazole (PPI), ranitidine (H2RA)</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BEF47" w14:textId="77777777" w:rsidR="00FF4F00" w:rsidRDefault="00794277">
            <w:r>
              <w:rPr>
                <w:sz w:val="14"/>
              </w:rPr>
              <w:t>PPIs: 1–2 mg/kg/day IV or oral;</w:t>
            </w:r>
            <w:r>
              <w:rPr>
                <w:sz w:val="14"/>
              </w:rPr>
              <w:br/>
              <w:t>Ranitidine: 4–6 mg/kg/day;</w:t>
            </w:r>
            <w:r>
              <w:rPr>
                <w:sz w:val="14"/>
              </w:rPr>
              <w:br/>
              <w:t>Antacids/sucralfate: dose NR</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473510" w14:textId="77777777" w:rsidR="00FF4F00" w:rsidRDefault="00794277">
            <w:r>
              <w:rPr>
                <w:sz w:val="14"/>
              </w:rPr>
              <w:t>No prophylaxis</w:t>
            </w:r>
            <w:r>
              <w:rPr>
                <w:sz w:val="14"/>
              </w:rPr>
              <w:br/>
              <w:t>(75 patients)</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B581E" w14:textId="77777777" w:rsidR="00FF4F00" w:rsidRDefault="00794277">
            <w:r>
              <w:rPr>
                <w:sz w:val="14"/>
              </w:rPr>
              <w:t>GIB: SUP 11/61 (18.0%) vs no Rx 10/75 (13.3%) (P=NS)</w:t>
            </w:r>
            <w:r>
              <w:rPr>
                <w:sz w:val="14"/>
              </w:rPr>
              <w:br/>
              <w:t>Clinically significant gastrointestinal bleeding: SUP 1/61 vs no Rx 0/75</w:t>
            </w:r>
            <w:r>
              <w:rPr>
                <w:sz w:val="14"/>
              </w:rPr>
              <w:br/>
              <w:t>Mortality: NR</w:t>
            </w:r>
            <w:r>
              <w:rPr>
                <w:sz w:val="14"/>
              </w:rPr>
              <w:br/>
              <w:t>VAP: NR</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03E4D" w14:textId="77777777" w:rsidR="00FF4F00" w:rsidRDefault="00794277">
            <w:r>
              <w:rPr>
                <w:sz w:val="14"/>
              </w:rPr>
              <w:t>Funding: NR</w:t>
            </w:r>
            <w:r>
              <w:rPr>
                <w:sz w:val="14"/>
              </w:rPr>
              <w:br/>
              <w:t>COI: None</w:t>
            </w:r>
          </w:p>
        </w:tc>
      </w:tr>
      <w:tr w:rsidR="00FF4F00" w14:paraId="0B9F4322"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8B92A" w14:textId="77777777" w:rsidR="00FF4F00" w:rsidRDefault="00794277">
            <w:r>
              <w:rPr>
                <w:sz w:val="14"/>
              </w:rPr>
              <w:t>Duffett et al., 2020</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B46568" w14:textId="77777777" w:rsidR="00FF4F00" w:rsidRDefault="00794277">
            <w:r>
              <w:rPr>
                <w:sz w:val="14"/>
              </w:rPr>
              <w:t>Canada, 7 PICUs</w:t>
            </w:r>
            <w:r>
              <w:rPr>
                <w:sz w:val="14"/>
              </w:rPr>
              <w:br/>
              <w:t>(all teaching hospitals)</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34F39" w14:textId="77777777" w:rsidR="00FF4F00" w:rsidRDefault="00794277">
            <w:r>
              <w:rPr>
                <w:sz w:val="14"/>
              </w:rPr>
              <w:t>Multicenter prospective observational cohort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233512" w14:textId="77777777" w:rsidR="00FF4F00" w:rsidRDefault="00794277">
            <w:r>
              <w:rPr>
                <w:sz w:val="14"/>
              </w:rPr>
              <w:t>All patients receiving invasive or noninvasive ventilation &gt;6h, within an 8-week study period (Mar–Jun 2016)</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B7B493" w14:textId="77777777" w:rsidR="00FF4F00" w:rsidRDefault="00794277">
            <w:r>
              <w:rPr>
                <w:sz w:val="14"/>
              </w:rPr>
              <w:t>N=378</w:t>
            </w:r>
            <w:r>
              <w:rPr>
                <w:sz w:val="14"/>
              </w:rPr>
              <w:br/>
              <w:t>(Eligible for SUP: 309</w:t>
            </w:r>
            <w:r>
              <w:rPr>
                <w:sz w:val="14"/>
              </w:rPr>
              <w:br/>
              <w:t>Received SUP: 167</w:t>
            </w:r>
            <w:r>
              <w:rPr>
                <w:sz w:val="14"/>
              </w:rPr>
              <w:br/>
              <w:t>No SUP (eligible): 142)</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975EB7" w14:textId="77777777" w:rsidR="00FF4F00" w:rsidRDefault="00794277">
            <w:r>
              <w:rPr>
                <w:sz w:val="14"/>
              </w:rPr>
              <w:t>Median 1.3 yr (IQR 0.3–6.7)</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19814C" w14:textId="77777777" w:rsidR="00FF4F00" w:rsidRDefault="00794277">
            <w:r>
              <w:rPr>
                <w:sz w:val="14"/>
              </w:rPr>
              <w:t>H2RAs (73%), PPIs (41%), sucralfate (6%);</w:t>
            </w:r>
            <w:r>
              <w:rPr>
                <w:sz w:val="14"/>
              </w:rPr>
              <w:br/>
              <w:t>IV ranitidine, IV pantoprazole, enteral omeprazole/lansoprazole</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823340" w14:textId="77777777" w:rsidR="00FF4F00" w:rsidRDefault="00794277">
            <w:r>
              <w:rPr>
                <w:sz w:val="14"/>
              </w:rPr>
              <w:t>IV ranitidine: median 2.1 mg/kg/d;</w:t>
            </w:r>
            <w:r>
              <w:rPr>
                <w:sz w:val="14"/>
              </w:rPr>
              <w:br/>
              <w:t>IV pantoprazole: median 1.1 mg/kg/d;</w:t>
            </w:r>
            <w:r>
              <w:rPr>
                <w:sz w:val="14"/>
              </w:rPr>
              <w:br/>
              <w:t>enteral omeprazole: median 2.0 mg/kg/d;</w:t>
            </w:r>
            <w:r>
              <w:rPr>
                <w:sz w:val="14"/>
              </w:rPr>
              <w:br/>
              <w:t>median duration 4 days (IQR 2–10)</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F4F4CA" w14:textId="77777777" w:rsidR="00FF4F00" w:rsidRDefault="00794277">
            <w:r>
              <w:rPr>
                <w:sz w:val="14"/>
              </w:rPr>
              <w:t>No SUP</w:t>
            </w:r>
            <w:r>
              <w:rPr>
                <w:sz w:val="14"/>
              </w:rPr>
              <w:br/>
              <w:t>(eligible patients not receiving prophylaxis)</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FE1B8" w14:textId="77777777" w:rsidR="00FF4F00" w:rsidRDefault="00794277">
            <w:r>
              <w:rPr>
                <w:sz w:val="14"/>
              </w:rPr>
              <w:t>GIB (overt): 21/378 (6%) overall</w:t>
            </w:r>
            <w:r>
              <w:rPr>
                <w:sz w:val="14"/>
              </w:rPr>
              <w:br/>
              <w:t>Clinically significant gastrointestinal bleeding: 3/378 (0.8%) overall</w:t>
            </w:r>
            <w:r>
              <w:rPr>
                <w:sz w:val="14"/>
              </w:rPr>
              <w:br/>
              <w:t>Mortality: 19/378 (5%) overall</w:t>
            </w:r>
            <w:r>
              <w:rPr>
                <w:sz w:val="14"/>
              </w:rPr>
              <w:br/>
              <w:t>VAP/RTI: 68/378 (18%) overall</w:t>
            </w:r>
            <w:r>
              <w:rPr>
                <w:sz w:val="14"/>
              </w:rPr>
              <w:br/>
              <w:t>C. difficile: 2/378 (0.5%)</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31EBF" w14:textId="77777777" w:rsidR="00FF4F00" w:rsidRDefault="00794277">
            <w:r>
              <w:rPr>
                <w:sz w:val="14"/>
              </w:rPr>
              <w:t>Funding: Canadian Society of Hospital Pharmacists Foundation</w:t>
            </w:r>
            <w:r>
              <w:rPr>
                <w:sz w:val="14"/>
              </w:rPr>
              <w:br/>
              <w:t>COI: None</w:t>
            </w:r>
          </w:p>
        </w:tc>
      </w:tr>
      <w:tr w:rsidR="00FF4F00" w14:paraId="4F75F08C"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F163C" w14:textId="77777777" w:rsidR="00FF4F00" w:rsidRDefault="00794277">
            <w:r>
              <w:rPr>
                <w:sz w:val="14"/>
              </w:rPr>
              <w:t>Goyer et al., 2022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65066A" w14:textId="77777777" w:rsidR="00FF4F00" w:rsidRDefault="00794277">
            <w:r>
              <w:rPr>
                <w:sz w:val="14"/>
              </w:rPr>
              <w:t>France, 1 center</w:t>
            </w:r>
            <w:r>
              <w:rPr>
                <w:sz w:val="14"/>
              </w:rPr>
              <w:br/>
              <w:t>(Tertiary university hospital PICU, Caen)</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B3EBD8" w14:textId="77777777" w:rsidR="00FF4F00" w:rsidRDefault="00794277">
            <w:r>
              <w:rPr>
                <w:sz w:val="14"/>
              </w:rPr>
              <w:t>Retrospective cohort with propensity score matching</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6BA76A" w14:textId="77777777" w:rsidR="00FF4F00" w:rsidRDefault="00794277">
            <w:r>
              <w:rPr>
                <w:sz w:val="14"/>
              </w:rPr>
              <w:t>Patients &lt;18 yr admitted to PICU with stay &gt;48h, Jan 2017–Dec 2018; excluded: PICU stay &lt;48h, death on arrival</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287B7" w14:textId="77777777" w:rsidR="00FF4F00" w:rsidRDefault="00794277">
            <w:r>
              <w:rPr>
                <w:sz w:val="14"/>
              </w:rPr>
              <w:t>N=754</w:t>
            </w:r>
            <w:r>
              <w:rPr>
                <w:sz w:val="14"/>
              </w:rPr>
              <w:br/>
              <w:t>(PPI exposed: 231 [31%]</w:t>
            </w:r>
            <w:r>
              <w:rPr>
                <w:sz w:val="14"/>
              </w:rPr>
              <w:br/>
              <w:t>No PPI: 523 [69%])</w:t>
            </w:r>
            <w:r>
              <w:rPr>
                <w:sz w:val="14"/>
              </w:rPr>
              <w:br/>
              <w:t>After PSM: 184/group</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D5B36" w14:textId="77777777" w:rsidR="00FF4F00" w:rsidRDefault="00794277">
            <w:r>
              <w:rPr>
                <w:sz w:val="14"/>
              </w:rPr>
              <w:t>&lt;18 years</w:t>
            </w:r>
            <w:r>
              <w:rPr>
                <w:sz w:val="14"/>
              </w:rPr>
              <w:br/>
              <w:t>(specific stats NR)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40F777" w14:textId="77777777" w:rsidR="00FF4F00" w:rsidRDefault="00794277">
            <w:r>
              <w:rPr>
                <w:sz w:val="14"/>
              </w:rPr>
              <w:t>PPIs (mostly for SUP; 75%);</w:t>
            </w:r>
            <w:r>
              <w:rPr>
                <w:sz w:val="14"/>
              </w:rPr>
              <w:br/>
              <w:t>agent/route NR</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269B2" w14:textId="77777777" w:rsidR="00FF4F00" w:rsidRDefault="00794277">
            <w:r>
              <w:rPr>
                <w:sz w:val="14"/>
              </w:rPr>
              <w:t>Dose/frequency: NR;</w:t>
            </w:r>
            <w:r>
              <w:rPr>
                <w:sz w:val="14"/>
              </w:rPr>
              <w:br/>
              <w:t>median PICU stay: PPI 6 days (IQR 4–11) vs no-PPI 4 days (IQR 2–6)</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DA6DB" w14:textId="77777777" w:rsidR="00FF4F00" w:rsidRDefault="00794277">
            <w:r>
              <w:rPr>
                <w:sz w:val="14"/>
              </w:rPr>
              <w:t>No PPI exposure</w:t>
            </w:r>
            <w:r>
              <w:rPr>
                <w:sz w:val="14"/>
              </w:rPr>
              <w:br/>
              <w:t>(observational)</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70D8E" w14:textId="77777777" w:rsidR="00FF4F00" w:rsidRDefault="00794277">
            <w:r>
              <w:rPr>
                <w:sz w:val="14"/>
              </w:rPr>
              <w:t>GIB: no UGI bleeding in no-PPI group; PPI group NR</w:t>
            </w:r>
            <w:r>
              <w:rPr>
                <w:sz w:val="14"/>
              </w:rPr>
              <w:br/>
              <w:t>Clinically significant gastrointestinal bleeding: NR</w:t>
            </w:r>
            <w:r>
              <w:rPr>
                <w:sz w:val="14"/>
              </w:rPr>
              <w:br/>
              <w:t>Mortality: PPI 9/231 (4%) vs no-PPI 9/523 (2%) (P=0.072)</w:t>
            </w:r>
            <w:r>
              <w:rPr>
                <w:sz w:val="14"/>
              </w:rPr>
              <w:br/>
              <w:t>VAP: NR</w:t>
            </w:r>
            <w:r>
              <w:rPr>
                <w:sz w:val="14"/>
              </w:rPr>
              <w:br/>
              <w:t xml:space="preserve">Nosocomial infection: aOR 2.9 (95% CI </w:t>
            </w:r>
            <w:r>
              <w:rPr>
                <w:sz w:val="14"/>
              </w:rPr>
              <w:lastRenderedPageBreak/>
              <w:t>0.9–9.3) P=0.082 (PSM)</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FCCF0" w14:textId="77777777" w:rsidR="00FF4F00" w:rsidRDefault="00794277">
            <w:r>
              <w:rPr>
                <w:sz w:val="14"/>
              </w:rPr>
              <w:lastRenderedPageBreak/>
              <w:t>Funding: NR</w:t>
            </w:r>
            <w:r>
              <w:rPr>
                <w:sz w:val="14"/>
              </w:rPr>
              <w:br/>
              <w:t>COI: Goyer (Braun Medical), Dupont (Abbvie)</w:t>
            </w:r>
          </w:p>
        </w:tc>
      </w:tr>
      <w:tr w:rsidR="00FF4F00" w14:paraId="4F02950B"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A1122" w14:textId="77777777" w:rsidR="00FF4F00" w:rsidRDefault="00794277">
            <w:r>
              <w:rPr>
                <w:sz w:val="14"/>
              </w:rPr>
              <w:t>Roberts et al., 2022</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0433C" w14:textId="77777777" w:rsidR="00FF4F00" w:rsidRDefault="00794277">
            <w:r>
              <w:rPr>
                <w:sz w:val="14"/>
              </w:rPr>
              <w:t>USA, 42 children's hospitals</w:t>
            </w:r>
            <w:r>
              <w:rPr>
                <w:sz w:val="14"/>
              </w:rPr>
              <w:br/>
              <w:t>(PHIS registry)</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00E44" w14:textId="77777777" w:rsidR="00FF4F00" w:rsidRDefault="00794277">
            <w:r>
              <w:rPr>
                <w:sz w:val="14"/>
              </w:rPr>
              <w:t>Retrospective multicenter cohort</w:t>
            </w:r>
            <w:r>
              <w:rPr>
                <w:sz w:val="14"/>
              </w:rPr>
              <w:br/>
              <w:t>(Jan 2010–Dec 2019)</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02CC1" w14:textId="77777777" w:rsidR="00FF4F00" w:rsidRDefault="00794277">
            <w:r>
              <w:rPr>
                <w:sz w:val="14"/>
              </w:rPr>
              <w:t>Children 3–17 yr admitted to PICU for critical asthma with systemic corticosteroids; excluded: GIB on admission, GERD, CHD, tracheostomy dependence, LOS &lt;1 day</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D117" w14:textId="77777777" w:rsidR="00FF4F00" w:rsidRDefault="00794277">
            <w:r>
              <w:rPr>
                <w:sz w:val="14"/>
              </w:rPr>
              <w:t>N=30,177</w:t>
            </w:r>
            <w:r>
              <w:rPr>
                <w:sz w:val="14"/>
              </w:rPr>
              <w:br/>
              <w:t>(SUP: 10,387 [34.4%]</w:t>
            </w:r>
            <w:r>
              <w:rPr>
                <w:sz w:val="14"/>
              </w:rPr>
              <w:br/>
              <w:t>No SUP: 19,790 [65.6%])</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F2544" w14:textId="77777777" w:rsidR="00FF4F00" w:rsidRDefault="00794277">
            <w:r>
              <w:rPr>
                <w:sz w:val="14"/>
              </w:rPr>
              <w:t>Mean 8.3 ±3.8 yr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5673D" w14:textId="77777777" w:rsidR="00FF4F00" w:rsidRDefault="00794277">
            <w:r>
              <w:rPr>
                <w:sz w:val="14"/>
              </w:rPr>
              <w:t>H2Bs or PPIs;</w:t>
            </w:r>
            <w:r>
              <w:rPr>
                <w:sz w:val="14"/>
              </w:rPr>
              <w:br/>
              <w:t>route NR</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65838" w14:textId="77777777" w:rsidR="00FF4F00" w:rsidRDefault="00794277">
            <w:r>
              <w:rPr>
                <w:sz w:val="14"/>
              </w:rPr>
              <w:t>Dose/frequency: NR;</w:t>
            </w:r>
            <w:r>
              <w:rPr>
                <w:sz w:val="14"/>
              </w:rPr>
              <w:br/>
              <w:t>SUP prescribing increased from 25.5% (2010) to 42.1% (2019)</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313A5" w14:textId="77777777" w:rsidR="00FF4F00" w:rsidRDefault="00794277">
            <w:r>
              <w:rPr>
                <w:sz w:val="14"/>
              </w:rPr>
              <w:t>No SUP</w:t>
            </w:r>
            <w:r>
              <w:rPr>
                <w:sz w:val="14"/>
              </w:rPr>
              <w:br/>
              <w:t>(observational)</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5565D" w14:textId="77777777" w:rsidR="00FF4F00" w:rsidRDefault="00794277">
            <w:r>
              <w:rPr>
                <w:sz w:val="14"/>
              </w:rPr>
              <w:t>GIB: 0 events (0%)</w:t>
            </w:r>
            <w:r>
              <w:rPr>
                <w:sz w:val="14"/>
              </w:rPr>
              <w:br/>
              <w:t>Clinically significant gastrointestinal bleeding: 0 (0%)</w:t>
            </w:r>
            <w:r>
              <w:rPr>
                <w:sz w:val="14"/>
              </w:rPr>
              <w:br/>
              <w:t>Mortality: 5/30,177 (0.02%)</w:t>
            </w:r>
            <w:r>
              <w:rPr>
                <w:sz w:val="14"/>
              </w:rPr>
              <w:br/>
              <w:t>VAP: NR</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F1B2E" w14:textId="77777777" w:rsidR="00FF4F00" w:rsidRDefault="00794277">
            <w:r>
              <w:rPr>
                <w:sz w:val="14"/>
              </w:rPr>
              <w:t>Funding: None</w:t>
            </w:r>
            <w:r>
              <w:rPr>
                <w:sz w:val="14"/>
              </w:rPr>
              <w:br/>
              <w:t>COI: None</w:t>
            </w:r>
          </w:p>
        </w:tc>
      </w:tr>
      <w:tr w:rsidR="00FF4F00" w14:paraId="49125F09"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C9EF7" w14:textId="77777777" w:rsidR="00FF4F00" w:rsidRDefault="00794277">
            <w:r>
              <w:rPr>
                <w:sz w:val="14"/>
              </w:rPr>
              <w:t>Sochet et al., 2020</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0B26A6" w14:textId="77777777" w:rsidR="00FF4F00" w:rsidRDefault="00794277">
            <w:r>
              <w:rPr>
                <w:sz w:val="14"/>
              </w:rPr>
              <w:t>USA, 1 center</w:t>
            </w:r>
            <w:r>
              <w:rPr>
                <w:sz w:val="14"/>
              </w:rPr>
              <w:br/>
              <w:t>(Johns Hopkins All Children's Hospital, FL)</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D67BA1" w14:textId="77777777" w:rsidR="00FF4F00" w:rsidRDefault="00794277">
            <w:r>
              <w:rPr>
                <w:sz w:val="14"/>
              </w:rPr>
              <w:t>Retrospective cohort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51BAB5" w14:textId="77777777" w:rsidR="00FF4F00" w:rsidRDefault="00794277">
            <w:r>
              <w:rPr>
                <w:sz w:val="14"/>
              </w:rPr>
              <w:t>Children 5–18 yr admitted for acute asthma/status asthmaticus; excluded: preadmission H2B/PPI use, coagulopathy, chronic liver disease, GERD, age &lt;5 yr</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4AF43" w14:textId="77777777" w:rsidR="00FF4F00" w:rsidRDefault="00794277">
            <w:r>
              <w:rPr>
                <w:sz w:val="14"/>
              </w:rPr>
              <w:t>N=217</w:t>
            </w:r>
            <w:r>
              <w:rPr>
                <w:sz w:val="14"/>
              </w:rPr>
              <w:br/>
              <w:t>(H2B [SUP]: 92 [42%]</w:t>
            </w:r>
            <w:r>
              <w:rPr>
                <w:sz w:val="14"/>
              </w:rPr>
              <w:br/>
              <w:t>No SUP: 125 [58%])</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745A67" w14:textId="77777777" w:rsidR="00FF4F00" w:rsidRDefault="00794277">
            <w:r>
              <w:rPr>
                <w:sz w:val="14"/>
              </w:rPr>
              <w:t>Mean 8.5 ±3.4 yr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D230B" w14:textId="77777777" w:rsidR="00FF4F00" w:rsidRDefault="00794277">
            <w:r>
              <w:rPr>
                <w:sz w:val="14"/>
              </w:rPr>
              <w:t>H2B: enteral ranitidine or IV famotidine;</w:t>
            </w:r>
            <w:r>
              <w:rPr>
                <w:sz w:val="14"/>
              </w:rPr>
              <w:br/>
              <w:t>with systemic corticosteroids</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64021" w14:textId="77777777" w:rsidR="00FF4F00" w:rsidRDefault="00794277">
            <w:r>
              <w:rPr>
                <w:sz w:val="14"/>
              </w:rPr>
              <w:t>Ranitidine: 1–2 mg/kg/dose enteral q12h (max 150 mg/dose);</w:t>
            </w:r>
            <w:r>
              <w:rPr>
                <w:sz w:val="14"/>
              </w:rPr>
              <w:br/>
              <w:t>Famotidine: 0.5 mg/kg IV q12h (max 20 mg/dose);</w:t>
            </w:r>
            <w:r>
              <w:rPr>
                <w:sz w:val="14"/>
              </w:rPr>
              <w:br/>
              <w:t>until discharge or within 6h of enteral nutrition initiation</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6F160" w14:textId="77777777" w:rsidR="00FF4F00" w:rsidRDefault="00794277">
            <w:r>
              <w:rPr>
                <w:sz w:val="14"/>
              </w:rPr>
              <w:t>No SUP</w:t>
            </w:r>
            <w:r>
              <w:rPr>
                <w:sz w:val="14"/>
              </w:rPr>
              <w:br/>
              <w:t>(observational)</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66E358" w14:textId="77777777" w:rsidR="00FF4F00" w:rsidRDefault="00794277">
            <w:r>
              <w:rPr>
                <w:sz w:val="14"/>
              </w:rPr>
              <w:t>GIB: 0 clinically important GIB in both groups; 2/217 (0.9%) acquired gastritis</w:t>
            </w:r>
            <w:r>
              <w:rPr>
                <w:sz w:val="14"/>
              </w:rPr>
              <w:br/>
              <w:t>Clinically significant gastrointestinal bleeding: 0 (0%) in both groups</w:t>
            </w:r>
            <w:r>
              <w:rPr>
                <w:sz w:val="14"/>
              </w:rPr>
              <w:br/>
              <w:t>Mortality: 0 (0%) in both groups</w:t>
            </w:r>
            <w:r>
              <w:rPr>
                <w:sz w:val="14"/>
              </w:rPr>
              <w:br/>
              <w:t>VAP: 0 (0%) in both groups</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C5700" w14:textId="77777777" w:rsidR="00FF4F00" w:rsidRDefault="00794277">
            <w:r>
              <w:rPr>
                <w:sz w:val="14"/>
              </w:rPr>
              <w:t>Funding: NR</w:t>
            </w:r>
            <w:r>
              <w:rPr>
                <w:sz w:val="14"/>
              </w:rPr>
              <w:br/>
              <w:t>COI: Nakagawa (UpToDate royalties)</w:t>
            </w:r>
          </w:p>
        </w:tc>
      </w:tr>
      <w:tr w:rsidR="00FF4F00" w14:paraId="3B4BE158" w14:textId="77777777">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4B369" w14:textId="77777777" w:rsidR="00FF4F00" w:rsidRDefault="00794277">
            <w:r>
              <w:rPr>
                <w:sz w:val="14"/>
              </w:rPr>
              <w:t>Derojanawong et al., 2009</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3A680" w14:textId="77777777" w:rsidR="00FF4F00" w:rsidRDefault="00794277">
            <w:r>
              <w:rPr>
                <w:sz w:val="14"/>
              </w:rPr>
              <w:t>Thailand, 1 center</w:t>
            </w:r>
            <w:r>
              <w:rPr>
                <w:sz w:val="14"/>
              </w:rPr>
              <w:br/>
              <w:t>(King Chulalongkorn Memorial Hospital, Bangkok)</w:t>
            </w:r>
          </w:p>
        </w:tc>
        <w:tc>
          <w:tcPr>
            <w:tcW w:w="10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4750CB" w14:textId="77777777" w:rsidR="00FF4F00" w:rsidRDefault="00794277">
            <w:r>
              <w:rPr>
                <w:sz w:val="14"/>
              </w:rPr>
              <w:t>Prospective analytical</w:t>
            </w:r>
            <w:r>
              <w:rPr>
                <w:sz w:val="14"/>
              </w:rPr>
              <w:br/>
              <w:t>(observational cohort)</w:t>
            </w:r>
          </w:p>
        </w:tc>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362D9" w14:textId="77777777" w:rsidR="00FF4F00" w:rsidRDefault="00794277">
            <w:r>
              <w:rPr>
                <w:sz w:val="14"/>
              </w:rPr>
              <w:t>Children requiring MV &gt;48h, Jan–Dec 2005; excluded: UGI bleeding before PICU transfer, active bleeding from nose/throat, hematemesis/melena at entry</w:t>
            </w: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3F646" w14:textId="77777777" w:rsidR="00FF4F00" w:rsidRDefault="00794277">
            <w:r>
              <w:rPr>
                <w:sz w:val="14"/>
              </w:rPr>
              <w:t>N=110</w:t>
            </w:r>
            <w:r>
              <w:rPr>
                <w:sz w:val="14"/>
              </w:rPr>
              <w:br/>
              <w:t>(GIB: 57 [51.8%]</w:t>
            </w:r>
            <w:r>
              <w:rPr>
                <w:sz w:val="14"/>
              </w:rPr>
              <w:br/>
              <w:t>No GIB: 53 [48.2%])</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BB44B" w14:textId="77777777" w:rsidR="00FF4F00" w:rsidRDefault="00794277">
            <w:r>
              <w:rPr>
                <w:sz w:val="14"/>
              </w:rPr>
              <w:t>Mean 2.7 ±4.0 yr</w:t>
            </w:r>
            <w:r>
              <w:rPr>
                <w:sz w:val="14"/>
              </w:rPr>
              <w:br/>
              <w:t>(median 7 mo)</w:t>
            </w:r>
            <w:r>
              <w:rPr>
                <w:sz w:val="14"/>
              </w:rPr>
              <w:br/>
              <w:t>Range: 7 days–14 yr</w:t>
            </w:r>
          </w:p>
        </w:tc>
        <w:tc>
          <w:tcPr>
            <w:tcW w:w="1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08B6C" w14:textId="77777777" w:rsidR="00FF4F00" w:rsidRDefault="00794277">
            <w:r>
              <w:rPr>
                <w:sz w:val="14"/>
              </w:rPr>
              <w:t>Variable SUP (ad hoc, not standardized)</w:t>
            </w:r>
          </w:p>
        </w:tc>
        <w:tc>
          <w:tcPr>
            <w:tcW w:w="12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1708B" w14:textId="77777777" w:rsidR="00FF4F00" w:rsidRDefault="00794277">
            <w:r>
              <w:rPr>
                <w:sz w:val="14"/>
              </w:rPr>
              <w:t>Dose/frequency: NR;</w:t>
            </w:r>
            <w:r>
              <w:rPr>
                <w:sz w:val="14"/>
              </w:rPr>
              <w:br/>
              <w:t>observational study (no formal protocol)</w:t>
            </w:r>
          </w:p>
        </w:tc>
        <w:tc>
          <w:tcPr>
            <w:tcW w:w="7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77B2F" w14:textId="77777777" w:rsidR="00FF4F00" w:rsidRDefault="00794277">
            <w:r>
              <w:rPr>
                <w:sz w:val="14"/>
              </w:rPr>
              <w:t>Observational only</w:t>
            </w:r>
            <w:r>
              <w:rPr>
                <w:sz w:val="14"/>
              </w:rPr>
              <w:br/>
              <w:t>(no formal comparator)</w:t>
            </w:r>
          </w:p>
        </w:tc>
        <w:tc>
          <w:tcPr>
            <w:tcW w:w="2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D8920" w14:textId="77777777" w:rsidR="00FF4F00" w:rsidRDefault="00794277">
            <w:r>
              <w:rPr>
                <w:sz w:val="14"/>
              </w:rPr>
              <w:t>GIB (overt): 57/110 (51.8%) overall</w:t>
            </w:r>
            <w:r>
              <w:rPr>
                <w:sz w:val="14"/>
              </w:rPr>
              <w:br/>
              <w:t>Clinically significant gastrointestinal bleeding: 4/110 (3.6%) overall</w:t>
            </w:r>
            <w:r>
              <w:rPr>
                <w:sz w:val="14"/>
              </w:rPr>
              <w:br/>
              <w:t>Mortality: NR</w:t>
            </w:r>
            <w:r>
              <w:rPr>
                <w:sz w:val="14"/>
              </w:rPr>
              <w:br/>
              <w:t>VAP: NR</w:t>
            </w:r>
            <w:r>
              <w:rPr>
                <w:sz w:val="14"/>
              </w:rPr>
              <w:br/>
              <w:t>Risk factors: organ failure (RR 2.85, P=0.020), peak inspiratory pressure ≥25 cmH2O (RR 3.73, P=0.002)</w:t>
            </w:r>
          </w:p>
        </w:tc>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25C4E" w14:textId="77777777" w:rsidR="00FF4F00" w:rsidRDefault="00794277">
            <w:r>
              <w:rPr>
                <w:sz w:val="14"/>
              </w:rPr>
              <w:t>Funding: NR</w:t>
            </w:r>
            <w:r>
              <w:rPr>
                <w:sz w:val="14"/>
              </w:rPr>
              <w:br/>
              <w:t>COI: None</w:t>
            </w:r>
          </w:p>
        </w:tc>
      </w:tr>
    </w:tbl>
    <w:p w14:paraId="32B8E567" w14:textId="77777777" w:rsidR="00FF4F00" w:rsidRDefault="00794277">
      <w:pPr>
        <w:spacing w:before="120" w:after="80"/>
      </w:pPr>
      <w:r>
        <w:t>Abbreviations: CHD, congenital heart disease; CICU, cardiac intensive care unit; COI, conflict of interest; CPB, cardiopulmonary bypass; clinically significant gastrointestinal bleeding; GIB, gastrointestinal bleeding; H2RA, histamine-2 receptor antagonist; ICU, intensive care unit; Int, intervention; IQR, interquartile range; IV, intravenous; mo, months; MV, mechanical ventilation; NG, nasogastric; NR, not reported; NS, not significant; NSD, no significant difference; PICU, pediatric intensive care unit; PPI, proton pump inhibitor; PSM, propensity score matching; pSOFA, pediatric Sequential Organ Failure Assessment; RCT, randomized controlled trial; RR, relative risk; SUP, stress ulcer prophylaxis; UGIB, upper gastrointestinal bleeding; VAP, ventilator-associated pneumonia; yr, years.</w:t>
      </w:r>
    </w:p>
    <w:p w14:paraId="7A457D40" w14:textId="6DD2F290" w:rsidR="00FF4F00" w:rsidRDefault="00794277">
      <w:pPr>
        <w:spacing w:after="240"/>
      </w:pPr>
      <w:r>
        <w:t>Studies listed in chronological order. Eddleston et al. (1989) was excluded from all quantitative syntheses (outcomes reported as percentages without group-specific denominators). López-Herce et al. (1992) was included in the clinically significant gastrointestinal bleeding analysis only; it was excluded from the UGIB primary analysis and the H2RA subgroup analysis because arm-level event counts for any UGIB were not reported in the original publication (see Appendix 8). López-Herce et al. (1992) and Yildizdas et al. (2002) include ≥3-arm comparisons. SUPPRESS-CHD (Mills et al., 2024) was a pilot feasibility trial.</w:t>
      </w:r>
    </w:p>
    <w:p w14:paraId="4554119A" w14:textId="77777777" w:rsidR="00FF4F00" w:rsidRDefault="00794277">
      <w:pPr>
        <w:spacing w:after="240"/>
      </w:pPr>
      <w:r>
        <w:t>All 11 observational studies were rated as having critical risk of bias on ROBINS-I V2 assessment and were therefore excluded from all quantitative syntheses.</w:t>
      </w:r>
    </w:p>
    <w:p w14:paraId="45341A1C" w14:textId="77777777" w:rsidR="00FF4F00" w:rsidRDefault="00FF4F00">
      <w:pPr>
        <w:sectPr w:rsidR="00FF4F00">
          <w:pgSz w:w="15840" w:h="12240" w:orient="landscape"/>
          <w:pgMar w:top="1080" w:right="1080" w:bottom="1080" w:left="1080" w:header="720" w:footer="720" w:gutter="0"/>
          <w:cols w:space="720"/>
          <w:docGrid w:linePitch="360"/>
        </w:sectPr>
      </w:pPr>
    </w:p>
    <w:p w14:paraId="7ADA83DA" w14:textId="77777777" w:rsidR="00FF4F00" w:rsidRDefault="00794277">
      <w:pPr>
        <w:spacing w:after="80"/>
      </w:pPr>
      <w:r>
        <w:rPr>
          <w:b/>
          <w:sz w:val="24"/>
        </w:rPr>
        <w:lastRenderedPageBreak/>
        <w:t>Supplementary Table 2. Upper Gastrointestinal Bleeding Definitions Across Included Studies</w:t>
      </w:r>
    </w:p>
    <w:p w14:paraId="2C0140AD" w14:textId="77777777" w:rsidR="00FF4F00" w:rsidRDefault="00794277">
      <w:pPr>
        <w:spacing w:after="120"/>
      </w:pPr>
      <w:r>
        <w:t>Definitions are as reported in each individual study. "UGIB (any)" indicates any blood detected in the upper GI tract regardless of clinical consequences. "clinically significant gastrointestinal bleeding" indicates a subset defined by clinical significance criteria (hemodynamic instability, transfusion requirement, or interventional threshold).</w:t>
      </w:r>
    </w:p>
    <w:tbl>
      <w:tblPr>
        <w:tblStyle w:val="afe"/>
        <w:tblW w:w="0" w:type="auto"/>
        <w:tblLook w:val="04A0" w:firstRow="1" w:lastRow="0" w:firstColumn="1" w:lastColumn="0" w:noHBand="0" w:noVBand="1"/>
      </w:tblPr>
      <w:tblGrid>
        <w:gridCol w:w="1582"/>
        <w:gridCol w:w="1040"/>
        <w:gridCol w:w="3008"/>
        <w:gridCol w:w="2725"/>
        <w:gridCol w:w="1165"/>
      </w:tblGrid>
      <w:tr w:rsidR="00FF4F00" w14:paraId="244C8A8C" w14:textId="77777777">
        <w:tc>
          <w:tcPr>
            <w:tcW w:w="158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471AF7B3" w14:textId="77777777" w:rsidR="00FF4F00" w:rsidRDefault="00794277">
            <w:r>
              <w:rPr>
                <w:b/>
                <w:sz w:val="16"/>
              </w:rPr>
              <w:t>Study (Year)</w:t>
            </w:r>
          </w:p>
        </w:tc>
        <w:tc>
          <w:tcPr>
            <w:tcW w:w="93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709D7979" w14:textId="77777777" w:rsidR="00FF4F00" w:rsidRDefault="00794277">
            <w:r>
              <w:rPr>
                <w:b/>
                <w:sz w:val="16"/>
              </w:rPr>
              <w:t>Design</w:t>
            </w:r>
          </w:p>
        </w:tc>
        <w:tc>
          <w:tcPr>
            <w:tcW w:w="3024"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644A02ED" w14:textId="77777777" w:rsidR="00FF4F00" w:rsidRDefault="00794277">
            <w:r>
              <w:rPr>
                <w:b/>
                <w:sz w:val="16"/>
              </w:rPr>
              <w:t>UGIB (Any) Definition</w:t>
            </w:r>
          </w:p>
        </w:tc>
        <w:tc>
          <w:tcPr>
            <w:tcW w:w="2736"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65F3490" w14:textId="77777777" w:rsidR="00FF4F00" w:rsidRDefault="00794277">
            <w:r>
              <w:rPr>
                <w:b/>
                <w:sz w:val="16"/>
              </w:rPr>
              <w:t>Clinically significant gastrointestinal bleeding Definition</w:t>
            </w:r>
          </w:p>
        </w:tc>
        <w:tc>
          <w:tcPr>
            <w:tcW w:w="1080" w:type="dxa"/>
            <w:tcBorders>
              <w:top w:val="single" w:sz="4" w:space="0" w:color="000000"/>
              <w:left w:val="single" w:sz="4" w:space="0" w:color="000000"/>
              <w:bottom w:val="single" w:sz="4" w:space="0" w:color="000000"/>
              <w:right w:val="single" w:sz="4" w:space="0" w:color="000000"/>
            </w:tcBorders>
            <w:shd w:val="clear" w:color="auto" w:fill="D0D0D0"/>
            <w:tcMar>
              <w:top w:w="80" w:type="dxa"/>
              <w:left w:w="80" w:type="dxa"/>
              <w:bottom w:w="80" w:type="dxa"/>
              <w:right w:w="80" w:type="dxa"/>
            </w:tcMar>
          </w:tcPr>
          <w:p w14:paraId="0D703276" w14:textId="77777777" w:rsidR="00FF4F00" w:rsidRDefault="00794277">
            <w:r>
              <w:rPr>
                <w:b/>
                <w:sz w:val="16"/>
              </w:rPr>
              <w:t>Notes</w:t>
            </w:r>
          </w:p>
        </w:tc>
      </w:tr>
      <w:tr w:rsidR="00FF4F00" w14:paraId="62AB98CA"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879D9" w14:textId="77777777" w:rsidR="00FF4F00" w:rsidRDefault="00794277">
            <w:r>
              <w:rPr>
                <w:sz w:val="16"/>
              </w:rPr>
              <w:t>Abu El-Ella et al. (2022)</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74B48"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FCDA4" w14:textId="77777777" w:rsidR="00FF4F00" w:rsidRDefault="00794277">
            <w:r>
              <w:rPr>
                <w:sz w:val="16"/>
              </w:rPr>
              <w:t>Overt upper GI bleeding: red or brown discharge from nasogastric tube</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F0E72A" w14:textId="77777777" w:rsidR="00FF4F00" w:rsidRDefault="00794277">
            <w:r>
              <w:rPr>
                <w:sz w:val="16"/>
              </w:rPr>
              <w:t>Clinically significant bleeding: development or worsening of shock, or need for non-urgent blood transfusion</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12741" w14:textId="77777777" w:rsidR="00FF4F00" w:rsidRDefault="00794277">
            <w:r>
              <w:rPr>
                <w:sz w:val="16"/>
              </w:rPr>
              <w:t>ITT analysis; included in meta-analysis</w:t>
            </w:r>
          </w:p>
        </w:tc>
      </w:tr>
      <w:tr w:rsidR="00FF4F00" w14:paraId="0A4ABAA3"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EA279" w14:textId="77777777" w:rsidR="00FF4F00" w:rsidRDefault="00794277">
            <w:r>
              <w:rPr>
                <w:sz w:val="16"/>
              </w:rPr>
              <w:t>Eddleston et al. (1989)</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7BBCA0"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D735C" w14:textId="77777777" w:rsidR="00FF4F00" w:rsidRDefault="00794277">
            <w:pPr>
              <w:rPr>
                <w:sz w:val="16"/>
              </w:rPr>
            </w:pPr>
            <w:r>
              <w:rPr>
                <w:sz w:val="16"/>
              </w:rPr>
              <w:t>Presence of blood in gastric aspirate detected by chemical test (Orokit II reagent); volume and color also recorded. Reported as percentage of patients with blood in aspirate at &lt;3 h and &gt;3 h post-CPB</w:t>
            </w:r>
          </w:p>
          <w:p w14:paraId="3C399F40" w14:textId="77777777" w:rsidR="00922F8B" w:rsidRDefault="00922F8B">
            <w:pPr>
              <w:rPr>
                <w:sz w:val="16"/>
                <w:lang w:eastAsia="ja-JP"/>
              </w:rPr>
            </w:pPr>
          </w:p>
          <w:p w14:paraId="5FFFF03C" w14:textId="0194CC5D" w:rsidR="00922F8B" w:rsidRPr="00922F8B" w:rsidRDefault="00922F8B">
            <w:pPr>
              <w:rPr>
                <w:sz w:val="16"/>
                <w:szCs w:val="16"/>
                <w:lang w:eastAsia="ja-JP"/>
              </w:rPr>
            </w:pPr>
            <w:r>
              <w:rPr>
                <w:sz w:val="16"/>
                <w:szCs w:val="16"/>
                <w:lang w:eastAsia="ja-JP"/>
              </w:rPr>
              <w:t>integer event counts not derivable</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00AC8" w14:textId="77777777" w:rsidR="00FF4F00" w:rsidRDefault="00794277">
            <w:r>
              <w:rPr>
                <w:sz w:val="16"/>
              </w:rPr>
              <w:t>Not separately defined; no hemodynamic or transfusion threshold applied</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24464" w14:textId="77777777" w:rsidR="00FF4F00" w:rsidRDefault="00794277">
            <w:pPr>
              <w:rPr>
                <w:sz w:val="16"/>
              </w:rPr>
            </w:pPr>
            <w:r>
              <w:rPr>
                <w:sz w:val="16"/>
              </w:rPr>
              <w:t>Primary endpoint was gastric pH ≥3.5 and acid output; blood in gastric aspirate reported as secondary finding. No correlation found between blood presence and intragastric pH. CPB population</w:t>
            </w:r>
          </w:p>
          <w:p w14:paraId="149A9B76" w14:textId="3490A0E1" w:rsidR="00922F8B" w:rsidRPr="00922F8B" w:rsidRDefault="00922F8B">
            <w:pPr>
              <w:rPr>
                <w:sz w:val="16"/>
                <w:szCs w:val="16"/>
              </w:rPr>
            </w:pPr>
            <w:r>
              <w:rPr>
                <w:sz w:val="16"/>
                <w:szCs w:val="16"/>
              </w:rPr>
              <w:t>Excluded from all quantitative syntheses; see Appendix 8</w:t>
            </w:r>
          </w:p>
        </w:tc>
      </w:tr>
      <w:tr w:rsidR="00FF4F00" w14:paraId="3C5C2C10"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0ED24" w14:textId="77777777" w:rsidR="00FF4F00" w:rsidRDefault="00794277">
            <w:r>
              <w:rPr>
                <w:sz w:val="16"/>
              </w:rPr>
              <w:t>Kavilapurapu et al. (2025)</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064256"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BC94A" w14:textId="77777777" w:rsidR="00FF4F00" w:rsidRDefault="00794277">
            <w:r>
              <w:rPr>
                <w:sz w:val="16"/>
              </w:rPr>
              <w:t>Overt GI bleeding: hematemesis, gross blood in NGT aspirate, coffee-ground material in NGT aspirate, melena, or hematochezia during hospitalization</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5F307" w14:textId="77777777" w:rsidR="00FF4F00" w:rsidRDefault="00794277">
            <w:r>
              <w:rPr>
                <w:sz w:val="16"/>
              </w:rPr>
              <w:t>Clinically significant UGI bleeding: overt GI bleeding with any of: SBP decrease &gt;20 mmHg, HR increase &gt;20 bpm, or Hb decrease &gt;2 g/dL requiring RBC transfusion within 24 hours</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D91088" w14:textId="77777777" w:rsidR="00FF4F00" w:rsidRDefault="00794277">
            <w:r>
              <w:rPr>
                <w:sz w:val="16"/>
              </w:rPr>
              <w:t>ITT analysis; coagulopathy subgroup pre-specified</w:t>
            </w:r>
          </w:p>
        </w:tc>
      </w:tr>
      <w:tr w:rsidR="00FF4F00" w14:paraId="691A3921"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BE0BF" w14:textId="77777777" w:rsidR="00FF4F00" w:rsidRDefault="00794277">
            <w:r>
              <w:rPr>
                <w:sz w:val="16"/>
              </w:rPr>
              <w:t>Lacroix et al. (1986)</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9C897"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B13474" w14:textId="77777777" w:rsidR="00FF4F00" w:rsidRDefault="00794277">
            <w:r>
              <w:rPr>
                <w:sz w:val="16"/>
              </w:rPr>
              <w:t>Blood aspirated from NGT, classified into three categories: (1) massive UGIB: red/brown blood with arterial BP decrease &gt;20 mmHg or Hb decrease &gt;2 g/dL; (2) overt UGIB: red/brown blood without significant hemodynamic or Hb change; (3) slight UGIB: detectable only in gastric aspirate</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619AF" w14:textId="77777777" w:rsidR="00FF4F00" w:rsidRDefault="00794277">
            <w:r>
              <w:rPr>
                <w:sz w:val="16"/>
              </w:rPr>
              <w:t>Massive UGIB: red/brown blood with arterial BP decrease &gt;20 mmHg or Hb decrease &gt;2 g/dL</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43CB9" w14:textId="77777777" w:rsidR="00FF4F00" w:rsidRDefault="00794277">
            <w:r>
              <w:rPr>
                <w:sz w:val="16"/>
              </w:rPr>
              <w:t>Primary endpoint was UGIB; gastric pH also measured</w:t>
            </w:r>
          </w:p>
        </w:tc>
      </w:tr>
      <w:tr w:rsidR="00FF4F00" w14:paraId="44B9B57E"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E6BE9A" w14:textId="77777777" w:rsidR="00FF4F00" w:rsidRDefault="00794277">
            <w:r>
              <w:rPr>
                <w:sz w:val="16"/>
              </w:rPr>
              <w:t>López-Herce et al. (1992)</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2B0D6A"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AE4B89" w14:textId="4A898969" w:rsidR="00432441" w:rsidRPr="00714A84" w:rsidRDefault="00F73C47">
            <w:pPr>
              <w:rPr>
                <w:sz w:val="16"/>
              </w:rPr>
            </w:pPr>
            <w:r>
              <w:rPr>
                <w:sz w:val="16"/>
              </w:rPr>
              <w:t>Macroscopic upper GI hemorrhage, classified as nonhemorrhage, slight, or significant (= important). Arm-level event counts reported only for 'significant hemorrhage'; arm-level any UGIB events not extractable.</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94B12B" w14:textId="77777777" w:rsidR="00FF4F00" w:rsidRDefault="00794277">
            <w:r>
              <w:rPr>
                <w:sz w:val="16"/>
              </w:rPr>
              <w:t>"Significant hemorrhage": hematocrit decrease &gt;15%, need for blood transfusion, or hemodynamic compromise</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5DACC5" w14:textId="4B64B192" w:rsidR="00FF4F00" w:rsidRPr="00F73C47" w:rsidRDefault="00F73C47">
            <w:pPr>
              <w:rPr>
                <w:sz w:val="16"/>
                <w:szCs w:val="16"/>
              </w:rPr>
            </w:pPr>
            <w:r>
              <w:rPr>
                <w:sz w:val="16"/>
                <w:szCs w:val="16"/>
              </w:rPr>
              <w:t>Excluded from UGIB primary analysis; included in clinically significant gastrointestinal bleeding analysis (combined 3-arm: 6/105 vs. 7/35). See Appendix 8, Section 1.</w:t>
            </w:r>
          </w:p>
        </w:tc>
      </w:tr>
      <w:tr w:rsidR="00FF4F00" w14:paraId="735F89A8"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1175B7" w14:textId="77777777" w:rsidR="00FF4F00" w:rsidRDefault="00794277">
            <w:r>
              <w:rPr>
                <w:sz w:val="16"/>
              </w:rPr>
              <w:t>Mills et al. (2024)</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DE2BE"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507733" w14:textId="77777777" w:rsidR="00FF4F00" w:rsidRDefault="00794277">
            <w:r>
              <w:rPr>
                <w:sz w:val="16"/>
              </w:rPr>
              <w:t xml:space="preserve">Any GI bleeding: bloody gastric drainage or </w:t>
            </w:r>
            <w:r>
              <w:rPr>
                <w:sz w:val="16"/>
              </w:rPr>
              <w:lastRenderedPageBreak/>
              <w:t>positive fecal occult blood with stable hemoglobin and vital signs (termed "minor GI bleeding" in the study)</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9DA2F" w14:textId="77777777" w:rsidR="00FF4F00" w:rsidRDefault="00794277">
            <w:r>
              <w:rPr>
                <w:sz w:val="16"/>
              </w:rPr>
              <w:lastRenderedPageBreak/>
              <w:t xml:space="preserve">Clinically significant UGI bleeding: </w:t>
            </w:r>
            <w:r>
              <w:rPr>
                <w:sz w:val="16"/>
              </w:rPr>
              <w:lastRenderedPageBreak/>
              <w:t>new-onset UGI bleeding (hematemesis, bloody gastric aspirate, or hematochezia) with any of: Hb decrease ≥2 g/dL, MAP decrease ≥10 mmHg, HR increase ≥20 bpm, need for blood transfusion, or need for endoscopic/surgical hemostasis</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342441" w14:textId="77777777" w:rsidR="00FF4F00" w:rsidRDefault="00794277">
            <w:r>
              <w:rPr>
                <w:sz w:val="16"/>
              </w:rPr>
              <w:lastRenderedPageBreak/>
              <w:t xml:space="preserve">Pilot feasibility </w:t>
            </w:r>
            <w:r>
              <w:rPr>
                <w:sz w:val="16"/>
              </w:rPr>
              <w:lastRenderedPageBreak/>
              <w:t>RCT; zero clinically significant GIB events in both arms</w:t>
            </w:r>
          </w:p>
        </w:tc>
      </w:tr>
      <w:tr w:rsidR="00FF4F00" w14:paraId="7A42273E" w14:textId="77777777">
        <w:tc>
          <w:tcPr>
            <w:tcW w:w="15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477E5" w14:textId="77777777" w:rsidR="00FF4F00" w:rsidRDefault="00794277">
            <w:r>
              <w:rPr>
                <w:sz w:val="16"/>
              </w:rPr>
              <w:lastRenderedPageBreak/>
              <w:t>Yildizdas et al. (2002)</w:t>
            </w:r>
          </w:p>
        </w:tc>
        <w:tc>
          <w:tcPr>
            <w:tcW w:w="9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84CDB" w14:textId="77777777" w:rsidR="00FF4F00" w:rsidRDefault="00794277">
            <w:r>
              <w:rPr>
                <w:sz w:val="16"/>
              </w:rPr>
              <w:t>RCT</w:t>
            </w:r>
          </w:p>
        </w:tc>
        <w:tc>
          <w:tcPr>
            <w:tcW w:w="30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93E09" w14:textId="77777777" w:rsidR="00FF4F00" w:rsidRDefault="00794277">
            <w:r>
              <w:rPr>
                <w:sz w:val="16"/>
              </w:rPr>
              <w:t>Macroscopic GI bleeding: red or brown discharge from nasogastric tube, or melena</w:t>
            </w:r>
          </w:p>
        </w:tc>
        <w:tc>
          <w:tcPr>
            <w:tcW w:w="27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6D95E4" w14:textId="77777777" w:rsidR="00FF4F00" w:rsidRDefault="00794277">
            <w:r>
              <w:rPr>
                <w:sz w:val="16"/>
              </w:rPr>
              <w:t>Not separately defined</w:t>
            </w:r>
          </w:p>
        </w:tc>
        <w:tc>
          <w:tcPr>
            <w:tcW w:w="10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C35A0" w14:textId="77777777" w:rsidR="00FF4F00" w:rsidRDefault="00794277">
            <w:r>
              <w:rPr>
                <w:sz w:val="16"/>
              </w:rPr>
              <w:t>Primary endpoint was VAP; GI bleeding was a secondary endpoint</w:t>
            </w:r>
          </w:p>
        </w:tc>
      </w:tr>
      <w:tr w:rsidR="00FF4F00" w14:paraId="7820DB0F"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41051D9" w14:textId="77777777" w:rsidR="00FF4F00" w:rsidRDefault="00794277">
            <w:r>
              <w:rPr>
                <w:sz w:val="16"/>
              </w:rPr>
              <w:t>Abdollahi et al. (2016)</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120D8DC" w14:textId="77777777" w:rsidR="00FF4F00" w:rsidRDefault="00794277">
            <w:r>
              <w:rPr>
                <w:sz w:val="16"/>
              </w:rPr>
              <w:t>Prospective non-RCT</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242C4066" w14:textId="77777777" w:rsidR="00FF4F00" w:rsidRDefault="00794277">
            <w:r>
              <w:rPr>
                <w:sz w:val="16"/>
              </w:rPr>
              <w:t>GI bleeding: hematemesis, coffee-ground aspirate, or melena</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0AF3FAD" w14:textId="77777777" w:rsidR="00FF4F00" w:rsidRDefault="00794277">
            <w:r>
              <w:rPr>
                <w:sz w:val="16"/>
              </w:rPr>
              <w:t>Clinically significant GI bleeding: SBP decrease &gt;20 mmHg, HR increase &gt;20 bpm, or need for blood transfusion</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E2AB9A5" w14:textId="77777777" w:rsidR="00FF4F00" w:rsidRDefault="00794277">
            <w:r>
              <w:rPr>
                <w:sz w:val="16"/>
              </w:rPr>
              <w:t>Three-arm non-randomized comparison</w:t>
            </w:r>
          </w:p>
        </w:tc>
      </w:tr>
      <w:tr w:rsidR="00FF4F00" w14:paraId="18FEAC3E"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EE0074C" w14:textId="77777777" w:rsidR="00FF4F00" w:rsidRDefault="00794277">
            <w:r>
              <w:rPr>
                <w:sz w:val="16"/>
              </w:rPr>
              <w:t>Behrens et al. (1994)</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384D93B" w14:textId="77777777" w:rsidR="00FF4F00" w:rsidRDefault="00794277">
            <w:r>
              <w:rPr>
                <w:sz w:val="16"/>
              </w:rPr>
              <w:t>Prospective endoscopic</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2A8E987B" w14:textId="77777777" w:rsidR="00FF4F00" w:rsidRDefault="00794277">
            <w:r>
              <w:rPr>
                <w:sz w:val="16"/>
              </w:rPr>
              <w:t>Endoscopic stress lesions graded 0–3: Score 0 = normal; Score 1 = mild to moderate inflammation, few petechiae or erosions; Score 2 = pronounced inflammation, multiple petechiae or erosions; Score 3 = ulcer(s)</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B7C7DAD" w14:textId="77777777" w:rsidR="00FF4F00" w:rsidRDefault="00794277">
            <w:r>
              <w:rPr>
                <w:sz w:val="16"/>
              </w:rPr>
              <w:t>Score 2–3 (pronounced inflammation or ulceration) considered severe; no hemodynamic-based clinically significant gastrointestinal bleeding definition</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1EE2B44" w14:textId="77777777" w:rsidR="00FF4F00" w:rsidRDefault="00794277">
            <w:r>
              <w:rPr>
                <w:sz w:val="16"/>
              </w:rPr>
              <w:t>Prospective endoscopic study in children after cardiac surgery; 94% had stress lesions without prophylaxis</w:t>
            </w:r>
          </w:p>
        </w:tc>
      </w:tr>
      <w:tr w:rsidR="00FF4F00" w14:paraId="09B40C2C"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D023230" w14:textId="77777777" w:rsidR="00FF4F00" w:rsidRDefault="00794277">
            <w:r>
              <w:rPr>
                <w:sz w:val="16"/>
              </w:rPr>
              <w:t>Deerojanawong et al. (2009)</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284C1DD3" w14:textId="77777777" w:rsidR="00FF4F00" w:rsidRDefault="00794277">
            <w:r>
              <w:rPr>
                <w:sz w:val="16"/>
              </w:rPr>
              <w:t>Retrospective</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B20FEF3" w14:textId="77777777" w:rsidR="00FF4F00" w:rsidRDefault="00794277">
            <w:r>
              <w:rPr>
                <w:sz w:val="16"/>
              </w:rPr>
              <w:t>Overt UGI bleeding: hematemesis, gross blood or coffee-ground material in nasogastric aspirates, hematochezia, or melena</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BE154D9" w14:textId="77777777" w:rsidR="00FF4F00" w:rsidRDefault="00794277">
            <w:r>
              <w:rPr>
                <w:sz w:val="16"/>
              </w:rPr>
              <w:t>Clinically significant bleeding: overt bleeding with spontaneous SBP decrease &gt;20 mmHg, HR increase &gt;20 bpm, pRBC transfusion within 24 hours, or gastric/duodenal surgery</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E80AE85" w14:textId="77777777" w:rsidR="00FF4F00" w:rsidRDefault="00794277">
            <w:r>
              <w:rPr>
                <w:sz w:val="16"/>
              </w:rPr>
              <w:t>MV patients only</w:t>
            </w:r>
          </w:p>
        </w:tc>
      </w:tr>
      <w:tr w:rsidR="00FF4F00" w14:paraId="2FD7B709"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B439E05" w14:textId="77777777" w:rsidR="00FF4F00" w:rsidRDefault="00794277">
            <w:r>
              <w:rPr>
                <w:sz w:val="16"/>
              </w:rPr>
              <w:t>Duffett et al. (2020)</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C11FBD5" w14:textId="77777777" w:rsidR="00FF4F00" w:rsidRDefault="00794277">
            <w:r>
              <w:rPr>
                <w:sz w:val="16"/>
              </w:rPr>
              <w:t>Prospective multicenter</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8F7084C" w14:textId="77777777" w:rsidR="00FF4F00" w:rsidRDefault="00794277">
            <w:r>
              <w:rPr>
                <w:sz w:val="16"/>
              </w:rPr>
              <w:t>GI bleeding: any mention of blood from the gastrointestinal tract in the clinical documentation</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806375B" w14:textId="77777777" w:rsidR="00FF4F00" w:rsidRDefault="00794277">
            <w:r>
              <w:rPr>
                <w:sz w:val="16"/>
              </w:rPr>
              <w:t>Clinically important GI bleeding: associated with transfusion, hypotension, need for vasopressors, or requiring an invasive procedure</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1867F8A" w14:textId="77777777" w:rsidR="00FF4F00" w:rsidRDefault="00794277">
            <w:r>
              <w:rPr>
                <w:sz w:val="16"/>
              </w:rPr>
              <w:t>Multicenter observational; largest observational study</w:t>
            </w:r>
          </w:p>
        </w:tc>
      </w:tr>
      <w:tr w:rsidR="00FF4F00" w14:paraId="446D6C25"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DA5B60F" w14:textId="77777777" w:rsidR="00FF4F00" w:rsidRDefault="00794277">
            <w:r>
              <w:rPr>
                <w:sz w:val="16"/>
              </w:rPr>
              <w:t>Goyer et al. (2022)</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9463C89" w14:textId="77777777" w:rsidR="00FF4F00" w:rsidRDefault="00794277">
            <w:r>
              <w:rPr>
                <w:sz w:val="16"/>
              </w:rPr>
              <w:t>Retrospective (PSM)</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68D1A93" w14:textId="77777777" w:rsidR="00FF4F00" w:rsidRDefault="00794277">
            <w:r>
              <w:rPr>
                <w:sz w:val="16"/>
              </w:rPr>
              <w:t>GIB (reported as secondary endpoint; definition references Chaïbou et al.)</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E416C31" w14:textId="77777777" w:rsidR="00FF4F00" w:rsidRDefault="00794277">
            <w:r>
              <w:rPr>
                <w:sz w:val="16"/>
              </w:rPr>
              <w:t>Not separately defined</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EE07821" w14:textId="77777777" w:rsidR="00FF4F00" w:rsidRDefault="00794277">
            <w:r>
              <w:rPr>
                <w:sz w:val="16"/>
              </w:rPr>
              <w:t>Primary outcome was nosocomial infection; GIB was secondary; SUP appropriateness also assessed</w:t>
            </w:r>
          </w:p>
        </w:tc>
      </w:tr>
      <w:tr w:rsidR="00FF4F00" w14:paraId="57BBE8D5"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71348EA" w14:textId="77777777" w:rsidR="00FF4F00" w:rsidRDefault="00794277">
            <w:r>
              <w:rPr>
                <w:sz w:val="16"/>
              </w:rPr>
              <w:t>Lacroix et al. (1992)</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9E11072" w14:textId="77777777" w:rsidR="00FF4F00" w:rsidRDefault="00794277">
            <w:r>
              <w:rPr>
                <w:sz w:val="16"/>
              </w:rPr>
              <w:t>Prospective cohort</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A40E4A4" w14:textId="77777777" w:rsidR="00FF4F00" w:rsidRDefault="00794277">
            <w:r>
              <w:rPr>
                <w:sz w:val="16"/>
              </w:rPr>
              <w:t>Overt upper GI bleeding: hematemesis or any amount of blood aspirated from the stomach via nasogastric tube</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69051E7" w14:textId="77777777" w:rsidR="00FF4F00" w:rsidRDefault="00794277">
            <w:r>
              <w:rPr>
                <w:sz w:val="16"/>
              </w:rPr>
              <w:t>Clinically important UGIB: hypotension, death, or blood transfusion occurring within 24 hours of the bleeding episode</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9A2DB17" w14:textId="77777777" w:rsidR="00FF4F00" w:rsidRDefault="00794277">
            <w:r>
              <w:rPr>
                <w:sz w:val="16"/>
              </w:rPr>
              <w:t>All observational studies: critical RoB; excluded from synthesis</w:t>
            </w:r>
          </w:p>
        </w:tc>
      </w:tr>
      <w:tr w:rsidR="00FF4F00" w14:paraId="31E0DCA9"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D228682" w14:textId="77777777" w:rsidR="00FF4F00" w:rsidRDefault="00794277">
            <w:r>
              <w:rPr>
                <w:sz w:val="16"/>
              </w:rPr>
              <w:t>Lopriore et al. (2002)</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08F2E13" w14:textId="77777777" w:rsidR="00FF4F00" w:rsidRDefault="00794277">
            <w:r>
              <w:rPr>
                <w:sz w:val="16"/>
              </w:rPr>
              <w:t>Retrospective cohort</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FE76AB0" w14:textId="77777777" w:rsidR="00FF4F00" w:rsidRDefault="00794277">
            <w:r>
              <w:rPr>
                <w:sz w:val="16"/>
              </w:rPr>
              <w:t>Not explicitly defined; UGIB mentioned in context of stress ulcer prophylaxis but no formal definition provided in the paper</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BF4CF55" w14:textId="77777777" w:rsidR="00FF4F00" w:rsidRDefault="00794277">
            <w:r>
              <w:rPr>
                <w:sz w:val="16"/>
              </w:rPr>
              <w:t>Not separately defined</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29C2D136" w14:textId="77777777" w:rsidR="00FF4F00" w:rsidRDefault="00794277">
            <w:r>
              <w:rPr>
                <w:sz w:val="16"/>
              </w:rPr>
              <w:t>Primary endpoint was VAP in MV patients; UGIB definition not stated</w:t>
            </w:r>
          </w:p>
        </w:tc>
      </w:tr>
      <w:tr w:rsidR="00FF4F00" w14:paraId="045ECDF8"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1A7E0348" w14:textId="77777777" w:rsidR="00FF4F00" w:rsidRDefault="00794277">
            <w:r>
              <w:rPr>
                <w:sz w:val="16"/>
              </w:rPr>
              <w:t>Nithiwathanapong et al. (2005)</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F50AA5C" w14:textId="77777777" w:rsidR="00FF4F00" w:rsidRDefault="00794277">
            <w:r>
              <w:rPr>
                <w:sz w:val="16"/>
              </w:rPr>
              <w:t>Retrospective</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4A47706" w14:textId="77777777" w:rsidR="00FF4F00" w:rsidRDefault="00794277">
            <w:r>
              <w:rPr>
                <w:sz w:val="16"/>
              </w:rPr>
              <w:t>Overt GI bleeding (OB): hematemesis, coffee-ground gastric content, or melena</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476CE5D" w14:textId="77777777" w:rsidR="00FF4F00" w:rsidRDefault="00794277">
            <w:r>
              <w:rPr>
                <w:sz w:val="16"/>
              </w:rPr>
              <w:t>Clinically significant bleeding (CSB): overt GI bleeding with BP decrease &gt;20 mmHg, HR increase &gt;20 bpm above baseline, or Hb decrease &gt;2 g/dL</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CD78D91" w14:textId="77777777" w:rsidR="00FF4F00" w:rsidRDefault="00794277">
            <w:r>
              <w:rPr>
                <w:sz w:val="16"/>
              </w:rPr>
              <w:t>Risk factor analysis; SUP not uniformly applied</w:t>
            </w:r>
          </w:p>
        </w:tc>
      </w:tr>
      <w:tr w:rsidR="00FF4F00" w14:paraId="4DF290B1"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4DA2245E" w14:textId="77777777" w:rsidR="00FF4F00" w:rsidRDefault="00794277">
            <w:r>
              <w:rPr>
                <w:sz w:val="16"/>
              </w:rPr>
              <w:t>Roberts et al. (2022)</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05A0722" w14:textId="77777777" w:rsidR="00FF4F00" w:rsidRDefault="00794277">
            <w:r>
              <w:rPr>
                <w:sz w:val="16"/>
              </w:rPr>
              <w:t>Retrospective</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8D08D26" w14:textId="77777777" w:rsidR="00FF4F00" w:rsidRDefault="00794277">
            <w:r>
              <w:rPr>
                <w:sz w:val="16"/>
              </w:rPr>
              <w:t>Major GI bleeding identified by ICD-9/10-</w:t>
            </w:r>
            <w:r>
              <w:rPr>
                <w:sz w:val="16"/>
              </w:rPr>
              <w:lastRenderedPageBreak/>
              <w:t>CM diagnostic codes (K250, K252, K2901, K2961, 5780, 5781, 5789, K921, K920, K922)</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3C3D6EC" w14:textId="77777777" w:rsidR="00FF4F00" w:rsidRDefault="00794277">
            <w:r>
              <w:rPr>
                <w:sz w:val="16"/>
              </w:rPr>
              <w:lastRenderedPageBreak/>
              <w:t xml:space="preserve">Major GIB per ISTH definition: fatal </w:t>
            </w:r>
            <w:r>
              <w:rPr>
                <w:sz w:val="16"/>
              </w:rPr>
              <w:lastRenderedPageBreak/>
              <w:t>bleeding, Hb decrease ≥20 g/L, or bleeding requiring ≥2 units of pRBC</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B192022" w14:textId="77777777" w:rsidR="00FF4F00" w:rsidRDefault="00794277">
            <w:r>
              <w:rPr>
                <w:sz w:val="16"/>
              </w:rPr>
              <w:lastRenderedPageBreak/>
              <w:t xml:space="preserve">Critical asthma </w:t>
            </w:r>
            <w:r>
              <w:rPr>
                <w:sz w:val="16"/>
              </w:rPr>
              <w:lastRenderedPageBreak/>
              <w:t>population only; retrospective ICD-code-based ascertainment</w:t>
            </w:r>
          </w:p>
        </w:tc>
      </w:tr>
      <w:tr w:rsidR="00FF4F00" w14:paraId="58DF63BD"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1F80D2DA" w14:textId="77777777" w:rsidR="00FF4F00" w:rsidRDefault="00794277">
            <w:r>
              <w:rPr>
                <w:sz w:val="16"/>
              </w:rPr>
              <w:lastRenderedPageBreak/>
              <w:t>Sahin et al. (2016)</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2C25A72D" w14:textId="77777777" w:rsidR="00FF4F00" w:rsidRDefault="00794277">
            <w:r>
              <w:rPr>
                <w:sz w:val="16"/>
              </w:rPr>
              <w:t>Retrospective</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3B8B22BE" w14:textId="77777777" w:rsidR="00FF4F00" w:rsidRDefault="00794277">
            <w:r>
              <w:rPr>
                <w:sz w:val="16"/>
              </w:rPr>
              <w:t>GI bleeding: hematemesis, blood or coffee-ground material in NGT drainage, or melena; classified as mild (coffee grounds in aspirate), moderate (small volume of red blood), clinically significant, or massive</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3C0B21B" w14:textId="77777777" w:rsidR="00FF4F00" w:rsidRDefault="00794277">
            <w:r>
              <w:rPr>
                <w:sz w:val="16"/>
              </w:rPr>
              <w:t>Clinically significant bleeding: BP decrease &gt;20 mmHg, Hb decrease &gt;2 g/dL, need for RBC transfusion, or GI surgery</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727DA2E7" w14:textId="77777777" w:rsidR="00FF4F00" w:rsidRDefault="00794277">
            <w:r>
              <w:rPr>
                <w:sz w:val="16"/>
              </w:rPr>
              <w:t>Risk factor analysis</w:t>
            </w:r>
          </w:p>
        </w:tc>
      </w:tr>
      <w:tr w:rsidR="00FF4F00" w14:paraId="224F0C93" w14:textId="77777777">
        <w:tc>
          <w:tcPr>
            <w:tcW w:w="158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195AF50" w14:textId="77777777" w:rsidR="00FF4F00" w:rsidRDefault="00794277">
            <w:r>
              <w:rPr>
                <w:sz w:val="16"/>
              </w:rPr>
              <w:t>Sochet et al. (2020)</w:t>
            </w:r>
          </w:p>
        </w:tc>
        <w:tc>
          <w:tcPr>
            <w:tcW w:w="9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67337C6" w14:textId="77777777" w:rsidR="00FF4F00" w:rsidRDefault="00794277">
            <w:r>
              <w:rPr>
                <w:sz w:val="16"/>
              </w:rPr>
              <w:t>Retrospective</w:t>
            </w:r>
          </w:p>
        </w:tc>
        <w:tc>
          <w:tcPr>
            <w:tcW w:w="3024"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6D2F8B1C" w14:textId="77777777" w:rsidR="00FF4F00" w:rsidRDefault="00794277">
            <w:r>
              <w:rPr>
                <w:sz w:val="16"/>
              </w:rPr>
              <w:t>No "any GIB" outcome defined; study reports clinically important bleeding (CIB) only</w:t>
            </w:r>
          </w:p>
        </w:tc>
        <w:tc>
          <w:tcPr>
            <w:tcW w:w="2736"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53F890DB" w14:textId="77777777" w:rsidR="00FF4F00" w:rsidRDefault="00794277">
            <w:r>
              <w:rPr>
                <w:sz w:val="16"/>
              </w:rPr>
              <w:t>Clinically important bleeding (CIB): Hb &lt;7 g/dL or acute Hb drop, or hemorrhagic shock requiring pRBC transfusion</w:t>
            </w:r>
          </w:p>
        </w:tc>
        <w:tc>
          <w:tcPr>
            <w:tcW w:w="1080" w:type="dxa"/>
            <w:tcBorders>
              <w:top w:val="single" w:sz="4" w:space="0" w:color="000000"/>
              <w:left w:val="single" w:sz="4" w:space="0" w:color="000000"/>
              <w:bottom w:val="single" w:sz="4" w:space="0" w:color="000000"/>
              <w:right w:val="single" w:sz="4" w:space="0" w:color="000000"/>
            </w:tcBorders>
            <w:shd w:val="clear" w:color="auto" w:fill="F8F8F8"/>
            <w:tcMar>
              <w:top w:w="80" w:type="dxa"/>
              <w:left w:w="80" w:type="dxa"/>
              <w:bottom w:w="80" w:type="dxa"/>
              <w:right w:w="80" w:type="dxa"/>
            </w:tcMar>
          </w:tcPr>
          <w:p w14:paraId="01D9F9C1" w14:textId="77777777" w:rsidR="00FF4F00" w:rsidRDefault="00794277">
            <w:r>
              <w:rPr>
                <w:sz w:val="16"/>
              </w:rPr>
              <w:t>Status asthmaticus population only; zero CIB events observed</w:t>
            </w:r>
          </w:p>
        </w:tc>
      </w:tr>
    </w:tbl>
    <w:p w14:paraId="34DA9F55" w14:textId="77777777" w:rsidR="00FF4F00" w:rsidRDefault="00794277">
      <w:pPr>
        <w:spacing w:before="120" w:after="80"/>
      </w:pPr>
      <w:r>
        <w:t>Abbreviations: clinically significant gastrointestinal bleeding; GIB, gastrointestinal bleeding; ITT, intention-to-treat; MV, mechanical ventilation; NGT, nasogastric tube; PSM, propensity score matching; RCT, randomized controlled trial; RoB, risk of bias; UGIB, upper gastrointestinal bleeding; VAP, ventilator-associated pneumonia.</w:t>
      </w:r>
    </w:p>
    <w:p w14:paraId="421F5C31" w14:textId="77777777" w:rsidR="00FF4F00" w:rsidRDefault="00794277">
      <w:pPr>
        <w:spacing w:after="240"/>
      </w:pPr>
      <w:r>
        <w:t>White rows: randomized controlled trials. Gray rows: observational studies (all excluded from evidence synthesis due to critical risk of bias on ROBINS-I V2 assessment).</w:t>
      </w:r>
    </w:p>
    <w:p w14:paraId="4820953F" w14:textId="77777777" w:rsidR="00FF4F00" w:rsidRDefault="00794277">
      <w:r>
        <w:br w:type="page"/>
      </w:r>
    </w:p>
    <w:p w14:paraId="0311E146" w14:textId="77777777" w:rsidR="006A46F1" w:rsidRDefault="00C44941">
      <w:r>
        <w:rPr>
          <w:b/>
        </w:rPr>
        <w:lastRenderedPageBreak/>
        <w:t>Supplementary Fig. 1. Outcome-specific risk of bias of the included randomized controlled trials (Cochrane Risk of Bias 2 tool)</w:t>
      </w:r>
    </w:p>
    <w:p w14:paraId="5FFBF4CC" w14:textId="77777777" w:rsidR="006A46F1" w:rsidRDefault="00C44941">
      <w:r>
        <w:rPr>
          <w:noProof/>
        </w:rPr>
        <w:drawing>
          <wp:inline distT="0" distB="0" distL="0" distR="0" wp14:anchorId="753F2B34" wp14:editId="136958A3">
            <wp:extent cx="5486400" cy="6353774"/>
            <wp:effectExtent l="0" t="0" r="0" b="0"/>
            <wp:docPr id="497148908" name="Picture 49714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1_RoB_embed.png"/>
                    <pic:cNvPicPr/>
                  </pic:nvPicPr>
                  <pic:blipFill>
                    <a:blip r:embed="rId9"/>
                    <a:stretch>
                      <a:fillRect/>
                    </a:stretch>
                  </pic:blipFill>
                  <pic:spPr>
                    <a:xfrm>
                      <a:off x="0" y="0"/>
                      <a:ext cx="5486400" cy="6353774"/>
                    </a:xfrm>
                    <a:prstGeom prst="rect">
                      <a:avLst/>
                    </a:prstGeom>
                  </pic:spPr>
                </pic:pic>
              </a:graphicData>
            </a:graphic>
          </wp:inline>
        </w:drawing>
      </w:r>
    </w:p>
    <w:p w14:paraId="5FEB230E" w14:textId="77777777" w:rsidR="006A46F1" w:rsidRDefault="00C44941">
      <w:r>
        <w:rPr>
          <w:sz w:val="20"/>
        </w:rPr>
        <w:t>(A) Upper gastrointestinal bleeding; (B) clinically significant gastrointestinal bleeding; (C) all-cause mortality; (D) ventilator-associated pneumonia. Domains: D1, randomization process; D2, deviations from intended interventions; D3, missing outcome data; D4, outcome measurement; D5, selection of the reported result. Green, low risk; yellow, some concerns; red, high risk.</w:t>
      </w:r>
    </w:p>
    <w:p w14:paraId="5AACC4F9" w14:textId="77777777" w:rsidR="006A46F1" w:rsidRDefault="006A46F1"/>
    <w:p w14:paraId="0192BB7F" w14:textId="77777777" w:rsidR="00FF4F00" w:rsidRDefault="00794277">
      <w:pPr>
        <w:spacing w:before="240" w:after="80"/>
      </w:pPr>
      <w:r>
        <w:rPr>
          <w:b/>
        </w:rPr>
        <w:lastRenderedPageBreak/>
        <w:t>Supplementary Fig. 2. Funnel Plot — Primary Outcome (Any Upper Gastrointestinal Bleeding)</w:t>
      </w:r>
    </w:p>
    <w:p w14:paraId="752FBB05" w14:textId="04A6F8AA" w:rsidR="00FF4F00" w:rsidRDefault="00BD614A">
      <w:pPr>
        <w:spacing w:after="0"/>
        <w:jc w:val="center"/>
      </w:pPr>
      <w:r>
        <w:rPr>
          <w:noProof/>
        </w:rPr>
        <w:drawing>
          <wp:inline distT="0" distB="0" distL="0" distR="0" wp14:anchorId="149E46CF" wp14:editId="69E59A96">
            <wp:extent cx="5943600" cy="4038600"/>
            <wp:effectExtent l="0" t="0" r="0" b="0"/>
            <wp:docPr id="4971489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48907" name=""/>
                    <pic:cNvPicPr/>
                  </pic:nvPicPr>
                  <pic:blipFill>
                    <a:blip r:embed="rId10"/>
                    <a:stretch>
                      <a:fillRect/>
                    </a:stretch>
                  </pic:blipFill>
                  <pic:spPr>
                    <a:xfrm>
                      <a:off x="0" y="0"/>
                      <a:ext cx="5943600" cy="4038600"/>
                    </a:xfrm>
                    <a:prstGeom prst="rect">
                      <a:avLst/>
                    </a:prstGeom>
                  </pic:spPr>
                </pic:pic>
              </a:graphicData>
            </a:graphic>
          </wp:inline>
        </w:drawing>
      </w:r>
    </w:p>
    <w:p w14:paraId="43269E63" w14:textId="7C99E898" w:rsidR="00FF4F00" w:rsidRDefault="00794277">
      <w:pPr>
        <w:spacing w:before="120" w:after="240"/>
      </w:pPr>
      <w:r>
        <w:rPr>
          <w:sz w:val="20"/>
        </w:rPr>
        <w:t>Each point represents one RCT, plotted as the log relative risk (x-axis) against the standard error of the log relative risk (y-axis, inverted). The vertical dashed line represents the pooled effect estimate; diagonal lines represent the 95% pseudo-confidence region. Visual inspection does not suggest marked asymmetry, though this assessment should be interpreted with caution given the limited number of studies.</w:t>
      </w:r>
    </w:p>
    <w:p w14:paraId="67D20D06" w14:textId="1E3B5450" w:rsidR="00F551F1" w:rsidRDefault="00794277" w:rsidP="00F551F1">
      <w:pPr>
        <w:spacing w:before="240" w:after="80"/>
      </w:pPr>
      <w:r>
        <w:t>Supplementary Fig. 3. Sensitivity Analysis — Restricting to RCTs with Low Risk of Bias or Some Concerns</w:t>
      </w:r>
    </w:p>
    <w:p w14:paraId="004A871C" w14:textId="77777777" w:rsidR="00F551F1" w:rsidRDefault="00F551F1" w:rsidP="00F551F1">
      <w:pPr>
        <w:spacing w:after="0"/>
        <w:jc w:val="center"/>
      </w:pPr>
      <w:r>
        <w:rPr>
          <w:noProof/>
        </w:rPr>
        <w:drawing>
          <wp:inline distT="0" distB="0" distL="0" distR="0" wp14:anchorId="6D577534" wp14:editId="4F382F52">
            <wp:extent cx="5760720" cy="13420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g7_Sensitivity.png"/>
                    <pic:cNvPicPr/>
                  </pic:nvPicPr>
                  <pic:blipFill>
                    <a:blip r:embed="rId11"/>
                    <a:stretch>
                      <a:fillRect/>
                    </a:stretch>
                  </pic:blipFill>
                  <pic:spPr>
                    <a:xfrm>
                      <a:off x="0" y="0"/>
                      <a:ext cx="5760720" cy="1342068"/>
                    </a:xfrm>
                    <a:prstGeom prst="rect">
                      <a:avLst/>
                    </a:prstGeom>
                  </pic:spPr>
                </pic:pic>
              </a:graphicData>
            </a:graphic>
          </wp:inline>
        </w:drawing>
      </w:r>
    </w:p>
    <w:p w14:paraId="462DEE2D" w14:textId="77777777" w:rsidR="00F551F1" w:rsidRDefault="00F551F1" w:rsidP="00F551F1">
      <w:pPr>
        <w:spacing w:before="120" w:after="240"/>
      </w:pPr>
      <w:r>
        <w:rPr>
          <w:sz w:val="20"/>
        </w:rPr>
        <w:t xml:space="preserve">Sensitivity analysis for the primary outcome (any UGIB) restricted to the two RCTs with some concerns on RoB 2 (excluding </w:t>
      </w:r>
      <w:r>
        <w:rPr>
          <w:rFonts w:hint="eastAsia"/>
          <w:sz w:val="20"/>
          <w:lang w:eastAsia="ja-JP"/>
        </w:rPr>
        <w:t>three</w:t>
      </w:r>
      <w:r>
        <w:rPr>
          <w:sz w:val="20"/>
        </w:rPr>
        <w:t xml:space="preserve"> RCTs with high risk of bias). Results were consistent with the primary analysis.</w:t>
      </w:r>
    </w:p>
    <w:p w14:paraId="3871D204" w14:textId="6B17063E" w:rsidR="00FF4F00" w:rsidRDefault="00FF4F00"/>
    <w:p w14:paraId="4F88C07B" w14:textId="77777777" w:rsidR="004F11CA" w:rsidRDefault="004F11CA">
      <w:pPr>
        <w:sectPr w:rsidR="004F11CA">
          <w:pgSz w:w="12240" w:h="15840"/>
          <w:pgMar w:top="1440" w:right="1440" w:bottom="1440" w:left="1440" w:header="720" w:footer="720" w:gutter="0"/>
          <w:cols w:space="720"/>
          <w:docGrid w:linePitch="360"/>
        </w:sectPr>
      </w:pPr>
    </w:p>
    <w:p w14:paraId="4C4D0AEB" w14:textId="77777777" w:rsidR="004F11CA" w:rsidRDefault="00C44941">
      <w:r>
        <w:rPr>
          <w:b/>
          <w:sz w:val="24"/>
        </w:rPr>
        <w:lastRenderedPageBreak/>
        <w:t>PRISMA 2020 Checklist</w:t>
      </w:r>
    </w:p>
    <w:tbl>
      <w:tblPr>
        <w:tblStyle w:val="afe"/>
        <w:tblW w:w="0" w:type="auto"/>
        <w:tblLook w:val="04A0" w:firstRow="1" w:lastRow="0" w:firstColumn="1" w:lastColumn="0" w:noHBand="0" w:noVBand="1"/>
      </w:tblPr>
      <w:tblGrid>
        <w:gridCol w:w="2160"/>
        <w:gridCol w:w="864"/>
        <w:gridCol w:w="5616"/>
        <w:gridCol w:w="6464"/>
      </w:tblGrid>
      <w:tr w:rsidR="004F11CA" w14:paraId="70CB9E10" w14:textId="77777777">
        <w:tc>
          <w:tcPr>
            <w:tcW w:w="2160" w:type="dxa"/>
          </w:tcPr>
          <w:p w14:paraId="42A8CA37" w14:textId="77777777" w:rsidR="004F11CA" w:rsidRDefault="00C44941">
            <w:r>
              <w:rPr>
                <w:b/>
                <w:sz w:val="17"/>
              </w:rPr>
              <w:t>Section and Topic</w:t>
            </w:r>
          </w:p>
        </w:tc>
        <w:tc>
          <w:tcPr>
            <w:tcW w:w="864" w:type="dxa"/>
          </w:tcPr>
          <w:p w14:paraId="60626896" w14:textId="77777777" w:rsidR="004F11CA" w:rsidRDefault="00C44941">
            <w:r>
              <w:rPr>
                <w:b/>
                <w:sz w:val="17"/>
              </w:rPr>
              <w:t>Item #</w:t>
            </w:r>
          </w:p>
        </w:tc>
        <w:tc>
          <w:tcPr>
            <w:tcW w:w="5616" w:type="dxa"/>
          </w:tcPr>
          <w:p w14:paraId="3A531CB5" w14:textId="77777777" w:rsidR="004F11CA" w:rsidRDefault="00C44941">
            <w:r>
              <w:rPr>
                <w:b/>
                <w:sz w:val="17"/>
              </w:rPr>
              <w:t>Checklist item</w:t>
            </w:r>
          </w:p>
        </w:tc>
        <w:tc>
          <w:tcPr>
            <w:tcW w:w="5328" w:type="dxa"/>
          </w:tcPr>
          <w:p w14:paraId="218119E8" w14:textId="77777777" w:rsidR="004F11CA" w:rsidRDefault="00C44941">
            <w:r>
              <w:rPr>
                <w:b/>
                <w:sz w:val="17"/>
              </w:rPr>
              <w:t>Location where item is reported</w:t>
            </w:r>
          </w:p>
        </w:tc>
      </w:tr>
      <w:tr w:rsidR="004F11CA" w14:paraId="7CD8D802" w14:textId="77777777">
        <w:tc>
          <w:tcPr>
            <w:tcW w:w="15104" w:type="dxa"/>
            <w:gridSpan w:val="4"/>
          </w:tcPr>
          <w:p w14:paraId="4E7BC246" w14:textId="77777777" w:rsidR="004F11CA" w:rsidRDefault="00C44941">
            <w:r>
              <w:rPr>
                <w:b/>
                <w:sz w:val="17"/>
              </w:rPr>
              <w:t>TITLE</w:t>
            </w:r>
          </w:p>
        </w:tc>
      </w:tr>
      <w:tr w:rsidR="004F11CA" w14:paraId="619DE376" w14:textId="77777777">
        <w:tc>
          <w:tcPr>
            <w:tcW w:w="2160" w:type="dxa"/>
          </w:tcPr>
          <w:p w14:paraId="25E3CA1A" w14:textId="77777777" w:rsidR="004F11CA" w:rsidRDefault="00C44941">
            <w:r>
              <w:rPr>
                <w:sz w:val="17"/>
              </w:rPr>
              <w:t>Title</w:t>
            </w:r>
          </w:p>
        </w:tc>
        <w:tc>
          <w:tcPr>
            <w:tcW w:w="864" w:type="dxa"/>
          </w:tcPr>
          <w:p w14:paraId="2ECD0736" w14:textId="77777777" w:rsidR="004F11CA" w:rsidRDefault="00C44941">
            <w:r>
              <w:rPr>
                <w:sz w:val="17"/>
              </w:rPr>
              <w:t>1</w:t>
            </w:r>
          </w:p>
        </w:tc>
        <w:tc>
          <w:tcPr>
            <w:tcW w:w="5616" w:type="dxa"/>
          </w:tcPr>
          <w:p w14:paraId="0A9A6C33" w14:textId="77777777" w:rsidR="004F11CA" w:rsidRDefault="00C44941">
            <w:r>
              <w:rPr>
                <w:sz w:val="17"/>
              </w:rPr>
              <w:t>Identify the report as a systematic review.</w:t>
            </w:r>
          </w:p>
        </w:tc>
        <w:tc>
          <w:tcPr>
            <w:tcW w:w="5328" w:type="dxa"/>
          </w:tcPr>
          <w:p w14:paraId="6135A23D" w14:textId="77777777" w:rsidR="004F11CA" w:rsidRDefault="00C44941">
            <w:r>
              <w:rPr>
                <w:sz w:val="17"/>
              </w:rPr>
              <w:t>Title</w:t>
            </w:r>
          </w:p>
        </w:tc>
      </w:tr>
      <w:tr w:rsidR="004F11CA" w14:paraId="13506E26" w14:textId="77777777">
        <w:tc>
          <w:tcPr>
            <w:tcW w:w="15104" w:type="dxa"/>
            <w:gridSpan w:val="4"/>
          </w:tcPr>
          <w:p w14:paraId="012C15E4" w14:textId="77777777" w:rsidR="004F11CA" w:rsidRDefault="00C44941">
            <w:r>
              <w:rPr>
                <w:b/>
                <w:sz w:val="17"/>
              </w:rPr>
              <w:t>ABSTRACT</w:t>
            </w:r>
          </w:p>
        </w:tc>
      </w:tr>
      <w:tr w:rsidR="004F11CA" w14:paraId="282CC5B4" w14:textId="77777777">
        <w:tc>
          <w:tcPr>
            <w:tcW w:w="2160" w:type="dxa"/>
          </w:tcPr>
          <w:p w14:paraId="0F9E62A1" w14:textId="77777777" w:rsidR="004F11CA" w:rsidRDefault="00C44941">
            <w:r>
              <w:rPr>
                <w:sz w:val="17"/>
              </w:rPr>
              <w:t>Abstract</w:t>
            </w:r>
          </w:p>
        </w:tc>
        <w:tc>
          <w:tcPr>
            <w:tcW w:w="864" w:type="dxa"/>
          </w:tcPr>
          <w:p w14:paraId="4A3A69A8" w14:textId="77777777" w:rsidR="004F11CA" w:rsidRDefault="00C44941">
            <w:r>
              <w:rPr>
                <w:sz w:val="17"/>
              </w:rPr>
              <w:t>2</w:t>
            </w:r>
          </w:p>
        </w:tc>
        <w:tc>
          <w:tcPr>
            <w:tcW w:w="5616" w:type="dxa"/>
          </w:tcPr>
          <w:p w14:paraId="3DF425D7" w14:textId="77777777" w:rsidR="004F11CA" w:rsidRDefault="00C44941">
            <w:r>
              <w:rPr>
                <w:sz w:val="17"/>
              </w:rPr>
              <w:t>See the PRISMA 2020 for Abstracts checklist.</w:t>
            </w:r>
          </w:p>
        </w:tc>
        <w:tc>
          <w:tcPr>
            <w:tcW w:w="5328" w:type="dxa"/>
          </w:tcPr>
          <w:p w14:paraId="5A5C7621" w14:textId="77777777" w:rsidR="004F11CA" w:rsidRDefault="00C44941">
            <w:r>
              <w:rPr>
                <w:sz w:val="17"/>
              </w:rPr>
              <w:t>Abstract</w:t>
            </w:r>
          </w:p>
        </w:tc>
      </w:tr>
      <w:tr w:rsidR="004F11CA" w14:paraId="71C547A7" w14:textId="77777777">
        <w:tc>
          <w:tcPr>
            <w:tcW w:w="15104" w:type="dxa"/>
            <w:gridSpan w:val="4"/>
          </w:tcPr>
          <w:p w14:paraId="58A94B94" w14:textId="77777777" w:rsidR="004F11CA" w:rsidRDefault="00C44941">
            <w:r>
              <w:rPr>
                <w:b/>
                <w:sz w:val="17"/>
              </w:rPr>
              <w:t>INTRODUCTION</w:t>
            </w:r>
          </w:p>
        </w:tc>
      </w:tr>
      <w:tr w:rsidR="004F11CA" w14:paraId="5EC9CF30" w14:textId="77777777">
        <w:tc>
          <w:tcPr>
            <w:tcW w:w="2160" w:type="dxa"/>
          </w:tcPr>
          <w:p w14:paraId="385AB82C" w14:textId="77777777" w:rsidR="004F11CA" w:rsidRDefault="00C44941">
            <w:r>
              <w:rPr>
                <w:sz w:val="17"/>
              </w:rPr>
              <w:t>Rationale</w:t>
            </w:r>
          </w:p>
        </w:tc>
        <w:tc>
          <w:tcPr>
            <w:tcW w:w="864" w:type="dxa"/>
          </w:tcPr>
          <w:p w14:paraId="0B58360C" w14:textId="77777777" w:rsidR="004F11CA" w:rsidRDefault="00C44941">
            <w:r>
              <w:rPr>
                <w:sz w:val="17"/>
              </w:rPr>
              <w:t>3</w:t>
            </w:r>
          </w:p>
        </w:tc>
        <w:tc>
          <w:tcPr>
            <w:tcW w:w="5616" w:type="dxa"/>
          </w:tcPr>
          <w:p w14:paraId="521E1777" w14:textId="77777777" w:rsidR="004F11CA" w:rsidRDefault="00C44941">
            <w:r>
              <w:rPr>
                <w:sz w:val="17"/>
              </w:rPr>
              <w:t>Describe the rationale for the review in the context of existing knowledge.</w:t>
            </w:r>
          </w:p>
        </w:tc>
        <w:tc>
          <w:tcPr>
            <w:tcW w:w="5328" w:type="dxa"/>
          </w:tcPr>
          <w:p w14:paraId="67771768" w14:textId="77777777" w:rsidR="004F11CA" w:rsidRDefault="00C44941">
            <w:r>
              <w:rPr>
                <w:sz w:val="17"/>
              </w:rPr>
              <w:t>Introduction</w:t>
            </w:r>
          </w:p>
        </w:tc>
      </w:tr>
      <w:tr w:rsidR="004F11CA" w14:paraId="02F61348" w14:textId="77777777">
        <w:tc>
          <w:tcPr>
            <w:tcW w:w="2160" w:type="dxa"/>
          </w:tcPr>
          <w:p w14:paraId="7F1E5F8B" w14:textId="77777777" w:rsidR="004F11CA" w:rsidRDefault="00C44941">
            <w:r>
              <w:rPr>
                <w:sz w:val="17"/>
              </w:rPr>
              <w:t>Objectives</w:t>
            </w:r>
          </w:p>
        </w:tc>
        <w:tc>
          <w:tcPr>
            <w:tcW w:w="864" w:type="dxa"/>
          </w:tcPr>
          <w:p w14:paraId="4B44420B" w14:textId="77777777" w:rsidR="004F11CA" w:rsidRDefault="00C44941">
            <w:r>
              <w:rPr>
                <w:sz w:val="17"/>
              </w:rPr>
              <w:t>4</w:t>
            </w:r>
          </w:p>
        </w:tc>
        <w:tc>
          <w:tcPr>
            <w:tcW w:w="5616" w:type="dxa"/>
          </w:tcPr>
          <w:p w14:paraId="14A6853A" w14:textId="77777777" w:rsidR="004F11CA" w:rsidRDefault="00C44941">
            <w:r>
              <w:rPr>
                <w:sz w:val="17"/>
              </w:rPr>
              <w:t>Provide an explicit statement of the objective(s) or question(s) the review addresses.</w:t>
            </w:r>
          </w:p>
        </w:tc>
        <w:tc>
          <w:tcPr>
            <w:tcW w:w="5328" w:type="dxa"/>
          </w:tcPr>
          <w:p w14:paraId="5351C4C1" w14:textId="77777777" w:rsidR="004F11CA" w:rsidRDefault="00C44941">
            <w:r>
              <w:rPr>
                <w:sz w:val="17"/>
              </w:rPr>
              <w:t>Introduction (final paragraph)</w:t>
            </w:r>
          </w:p>
        </w:tc>
      </w:tr>
      <w:tr w:rsidR="004F11CA" w14:paraId="1C82C080" w14:textId="77777777">
        <w:tc>
          <w:tcPr>
            <w:tcW w:w="15104" w:type="dxa"/>
            <w:gridSpan w:val="4"/>
          </w:tcPr>
          <w:p w14:paraId="354E6B9A" w14:textId="77777777" w:rsidR="004F11CA" w:rsidRDefault="00C44941">
            <w:r>
              <w:rPr>
                <w:b/>
                <w:sz w:val="17"/>
              </w:rPr>
              <w:t>METHODS</w:t>
            </w:r>
          </w:p>
        </w:tc>
      </w:tr>
      <w:tr w:rsidR="004F11CA" w14:paraId="1BD490DD" w14:textId="77777777">
        <w:tc>
          <w:tcPr>
            <w:tcW w:w="2160" w:type="dxa"/>
          </w:tcPr>
          <w:p w14:paraId="5F1FB8E7" w14:textId="77777777" w:rsidR="004F11CA" w:rsidRDefault="00C44941">
            <w:r>
              <w:rPr>
                <w:sz w:val="17"/>
              </w:rPr>
              <w:t>Eligibility criteria</w:t>
            </w:r>
          </w:p>
        </w:tc>
        <w:tc>
          <w:tcPr>
            <w:tcW w:w="864" w:type="dxa"/>
          </w:tcPr>
          <w:p w14:paraId="5F055DEB" w14:textId="77777777" w:rsidR="004F11CA" w:rsidRDefault="00C44941">
            <w:r>
              <w:rPr>
                <w:sz w:val="17"/>
              </w:rPr>
              <w:t>5</w:t>
            </w:r>
          </w:p>
        </w:tc>
        <w:tc>
          <w:tcPr>
            <w:tcW w:w="5616" w:type="dxa"/>
          </w:tcPr>
          <w:p w14:paraId="6BF0DEB4" w14:textId="77777777" w:rsidR="004F11CA" w:rsidRDefault="00C44941">
            <w:r>
              <w:rPr>
                <w:sz w:val="17"/>
              </w:rPr>
              <w:t>Specify the inclusion and exclusion criteria for the review and how studies were grouped for the syntheses.</w:t>
            </w:r>
          </w:p>
        </w:tc>
        <w:tc>
          <w:tcPr>
            <w:tcW w:w="5328" w:type="dxa"/>
          </w:tcPr>
          <w:p w14:paraId="129C9388" w14:textId="77777777" w:rsidR="004F11CA" w:rsidRDefault="00C44941">
            <w:r>
              <w:rPr>
                <w:sz w:val="17"/>
              </w:rPr>
              <w:t>Methods - Eligibility criteria; Appendix 2</w:t>
            </w:r>
          </w:p>
        </w:tc>
      </w:tr>
      <w:tr w:rsidR="004F11CA" w14:paraId="7181CB08" w14:textId="77777777">
        <w:tc>
          <w:tcPr>
            <w:tcW w:w="2160" w:type="dxa"/>
          </w:tcPr>
          <w:p w14:paraId="44C63A90" w14:textId="77777777" w:rsidR="004F11CA" w:rsidRDefault="00C44941">
            <w:r>
              <w:rPr>
                <w:sz w:val="17"/>
              </w:rPr>
              <w:t>Information sources</w:t>
            </w:r>
          </w:p>
        </w:tc>
        <w:tc>
          <w:tcPr>
            <w:tcW w:w="864" w:type="dxa"/>
          </w:tcPr>
          <w:p w14:paraId="03C17CB5" w14:textId="77777777" w:rsidR="004F11CA" w:rsidRDefault="00C44941">
            <w:r>
              <w:rPr>
                <w:sz w:val="17"/>
              </w:rPr>
              <w:t>6</w:t>
            </w:r>
          </w:p>
        </w:tc>
        <w:tc>
          <w:tcPr>
            <w:tcW w:w="5616" w:type="dxa"/>
          </w:tcPr>
          <w:p w14:paraId="30D9EFCA" w14:textId="77777777" w:rsidR="004F11CA" w:rsidRDefault="00C44941">
            <w:r>
              <w:rPr>
                <w:sz w:val="17"/>
              </w:rPr>
              <w:t>Specify all databases, registers, websites, organisations, reference lists and other sources searched or consulted to identify studies. Specify the date when each source was last searched or consulted.</w:t>
            </w:r>
          </w:p>
        </w:tc>
        <w:tc>
          <w:tcPr>
            <w:tcW w:w="5328" w:type="dxa"/>
          </w:tcPr>
          <w:p w14:paraId="33D0EF87" w14:textId="77777777" w:rsidR="004F11CA" w:rsidRDefault="00C44941">
            <w:r>
              <w:rPr>
                <w:sz w:val="17"/>
              </w:rPr>
              <w:t>Methods - Information sources and Search strategy</w:t>
            </w:r>
          </w:p>
        </w:tc>
      </w:tr>
      <w:tr w:rsidR="004F11CA" w14:paraId="78074A74" w14:textId="77777777">
        <w:tc>
          <w:tcPr>
            <w:tcW w:w="2160" w:type="dxa"/>
          </w:tcPr>
          <w:p w14:paraId="1B56EC91" w14:textId="77777777" w:rsidR="004F11CA" w:rsidRDefault="00C44941">
            <w:r>
              <w:rPr>
                <w:sz w:val="17"/>
              </w:rPr>
              <w:t>Search strategy</w:t>
            </w:r>
          </w:p>
        </w:tc>
        <w:tc>
          <w:tcPr>
            <w:tcW w:w="864" w:type="dxa"/>
          </w:tcPr>
          <w:p w14:paraId="70BE377C" w14:textId="77777777" w:rsidR="004F11CA" w:rsidRDefault="00C44941">
            <w:r>
              <w:rPr>
                <w:sz w:val="17"/>
              </w:rPr>
              <w:t>7</w:t>
            </w:r>
          </w:p>
        </w:tc>
        <w:tc>
          <w:tcPr>
            <w:tcW w:w="5616" w:type="dxa"/>
          </w:tcPr>
          <w:p w14:paraId="4C6394D2" w14:textId="77777777" w:rsidR="004F11CA" w:rsidRDefault="00C44941">
            <w:r>
              <w:rPr>
                <w:sz w:val="17"/>
              </w:rPr>
              <w:t>Present the full search strategies for all databases, registers and websites, including any filters and limits used.</w:t>
            </w:r>
          </w:p>
        </w:tc>
        <w:tc>
          <w:tcPr>
            <w:tcW w:w="5328" w:type="dxa"/>
          </w:tcPr>
          <w:p w14:paraId="23511109" w14:textId="77777777" w:rsidR="004F11CA" w:rsidRDefault="00C44941">
            <w:r>
              <w:rPr>
                <w:sz w:val="17"/>
              </w:rPr>
              <w:t>Appendix 1 (full search strategies for all 5 databases)</w:t>
            </w:r>
          </w:p>
        </w:tc>
      </w:tr>
      <w:tr w:rsidR="004F11CA" w14:paraId="1DA7472C" w14:textId="77777777">
        <w:tc>
          <w:tcPr>
            <w:tcW w:w="2160" w:type="dxa"/>
          </w:tcPr>
          <w:p w14:paraId="4AC02938" w14:textId="77777777" w:rsidR="004F11CA" w:rsidRDefault="00C44941">
            <w:r>
              <w:rPr>
                <w:sz w:val="17"/>
              </w:rPr>
              <w:t>Selection process</w:t>
            </w:r>
          </w:p>
        </w:tc>
        <w:tc>
          <w:tcPr>
            <w:tcW w:w="864" w:type="dxa"/>
          </w:tcPr>
          <w:p w14:paraId="48FA2488" w14:textId="77777777" w:rsidR="004F11CA" w:rsidRDefault="00C44941">
            <w:r>
              <w:rPr>
                <w:sz w:val="17"/>
              </w:rPr>
              <w:t>8</w:t>
            </w:r>
          </w:p>
        </w:tc>
        <w:tc>
          <w:tcPr>
            <w:tcW w:w="5616" w:type="dxa"/>
          </w:tcPr>
          <w:p w14:paraId="3F58516B" w14:textId="77777777" w:rsidR="004F11CA" w:rsidRDefault="00C44941">
            <w:r>
              <w:rPr>
                <w:sz w:val="17"/>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328" w:type="dxa"/>
          </w:tcPr>
          <w:p w14:paraId="3A3851CF" w14:textId="77777777" w:rsidR="004F11CA" w:rsidRDefault="00C44941">
            <w:r>
              <w:rPr>
                <w:sz w:val="17"/>
              </w:rPr>
              <w:t>Methods - Selection of studies and Data extraction</w:t>
            </w:r>
          </w:p>
        </w:tc>
      </w:tr>
      <w:tr w:rsidR="004F11CA" w14:paraId="03E9B57F" w14:textId="77777777">
        <w:tc>
          <w:tcPr>
            <w:tcW w:w="2160" w:type="dxa"/>
          </w:tcPr>
          <w:p w14:paraId="356215B6" w14:textId="77777777" w:rsidR="004F11CA" w:rsidRDefault="00C44941">
            <w:r>
              <w:rPr>
                <w:sz w:val="17"/>
              </w:rPr>
              <w:t>Data collection process</w:t>
            </w:r>
          </w:p>
        </w:tc>
        <w:tc>
          <w:tcPr>
            <w:tcW w:w="864" w:type="dxa"/>
          </w:tcPr>
          <w:p w14:paraId="0EE7BFD6" w14:textId="77777777" w:rsidR="004F11CA" w:rsidRDefault="00C44941">
            <w:r>
              <w:rPr>
                <w:sz w:val="17"/>
              </w:rPr>
              <w:t>9</w:t>
            </w:r>
          </w:p>
        </w:tc>
        <w:tc>
          <w:tcPr>
            <w:tcW w:w="5616" w:type="dxa"/>
          </w:tcPr>
          <w:p w14:paraId="6BB72A9D" w14:textId="77777777" w:rsidR="004F11CA" w:rsidRDefault="00C44941">
            <w:r>
              <w:rPr>
                <w:sz w:val="17"/>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328" w:type="dxa"/>
          </w:tcPr>
          <w:p w14:paraId="6CEAB9E0" w14:textId="77777777" w:rsidR="004F11CA" w:rsidRDefault="00C44941">
            <w:r>
              <w:rPr>
                <w:sz w:val="17"/>
              </w:rPr>
              <w:t>Methods - Selection of studies and Data extraction; Appendix 4</w:t>
            </w:r>
          </w:p>
        </w:tc>
      </w:tr>
      <w:tr w:rsidR="004F11CA" w14:paraId="42C2BCB9" w14:textId="77777777">
        <w:tc>
          <w:tcPr>
            <w:tcW w:w="2160" w:type="dxa"/>
          </w:tcPr>
          <w:p w14:paraId="37E48B00" w14:textId="77777777" w:rsidR="004F11CA" w:rsidRDefault="00C44941">
            <w:r>
              <w:rPr>
                <w:sz w:val="17"/>
              </w:rPr>
              <w:t>Data items</w:t>
            </w:r>
          </w:p>
        </w:tc>
        <w:tc>
          <w:tcPr>
            <w:tcW w:w="864" w:type="dxa"/>
          </w:tcPr>
          <w:p w14:paraId="55B54BE0" w14:textId="77777777" w:rsidR="004F11CA" w:rsidRDefault="00C44941">
            <w:r>
              <w:rPr>
                <w:sz w:val="17"/>
              </w:rPr>
              <w:t>10a</w:t>
            </w:r>
          </w:p>
        </w:tc>
        <w:tc>
          <w:tcPr>
            <w:tcW w:w="5616" w:type="dxa"/>
          </w:tcPr>
          <w:p w14:paraId="272CB827" w14:textId="77777777" w:rsidR="004F11CA" w:rsidRDefault="00C44941">
            <w:r>
              <w:rPr>
                <w:sz w:val="17"/>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328" w:type="dxa"/>
          </w:tcPr>
          <w:p w14:paraId="79A17998" w14:textId="77777777" w:rsidR="004F11CA" w:rsidRDefault="00C44941">
            <w:r>
              <w:rPr>
                <w:sz w:val="17"/>
              </w:rPr>
              <w:t>Methods - Outcome; Appendix 3 (outcome definitions and rationale)</w:t>
            </w:r>
          </w:p>
        </w:tc>
      </w:tr>
      <w:tr w:rsidR="004F11CA" w14:paraId="53A877DB" w14:textId="77777777">
        <w:tc>
          <w:tcPr>
            <w:tcW w:w="2160" w:type="dxa"/>
          </w:tcPr>
          <w:p w14:paraId="43CECC77" w14:textId="77777777" w:rsidR="004F11CA" w:rsidRDefault="00C44941">
            <w:r>
              <w:rPr>
                <w:sz w:val="17"/>
              </w:rPr>
              <w:t>Data items</w:t>
            </w:r>
          </w:p>
        </w:tc>
        <w:tc>
          <w:tcPr>
            <w:tcW w:w="864" w:type="dxa"/>
          </w:tcPr>
          <w:p w14:paraId="6F86C11A" w14:textId="77777777" w:rsidR="004F11CA" w:rsidRDefault="00C44941">
            <w:r>
              <w:rPr>
                <w:sz w:val="17"/>
              </w:rPr>
              <w:t>10b</w:t>
            </w:r>
          </w:p>
        </w:tc>
        <w:tc>
          <w:tcPr>
            <w:tcW w:w="5616" w:type="dxa"/>
          </w:tcPr>
          <w:p w14:paraId="1FAAF46A" w14:textId="77777777" w:rsidR="004F11CA" w:rsidRDefault="00C44941">
            <w:r>
              <w:rPr>
                <w:sz w:val="17"/>
              </w:rPr>
              <w:t>List and define all other variables for which data were sought (e.g. participant and intervention characteristics, funding sources). Describe any assumptions made about any missing or unclear information.</w:t>
            </w:r>
          </w:p>
        </w:tc>
        <w:tc>
          <w:tcPr>
            <w:tcW w:w="5328" w:type="dxa"/>
          </w:tcPr>
          <w:p w14:paraId="7C6F449F" w14:textId="77777777" w:rsidR="004F11CA" w:rsidRDefault="00C44941">
            <w:r>
              <w:rPr>
                <w:sz w:val="17"/>
              </w:rPr>
              <w:t>Appendix 4 (data extraction items)</w:t>
            </w:r>
          </w:p>
        </w:tc>
      </w:tr>
      <w:tr w:rsidR="004F11CA" w14:paraId="68F443F0" w14:textId="77777777">
        <w:tc>
          <w:tcPr>
            <w:tcW w:w="2160" w:type="dxa"/>
          </w:tcPr>
          <w:p w14:paraId="010ADC36" w14:textId="77777777" w:rsidR="004F11CA" w:rsidRDefault="00C44941">
            <w:r>
              <w:rPr>
                <w:sz w:val="17"/>
              </w:rPr>
              <w:t>Study risk of bias assessment</w:t>
            </w:r>
          </w:p>
        </w:tc>
        <w:tc>
          <w:tcPr>
            <w:tcW w:w="864" w:type="dxa"/>
          </w:tcPr>
          <w:p w14:paraId="18AEBA51" w14:textId="77777777" w:rsidR="004F11CA" w:rsidRDefault="00C44941">
            <w:r>
              <w:rPr>
                <w:sz w:val="17"/>
              </w:rPr>
              <w:t>11</w:t>
            </w:r>
          </w:p>
        </w:tc>
        <w:tc>
          <w:tcPr>
            <w:tcW w:w="5616" w:type="dxa"/>
          </w:tcPr>
          <w:p w14:paraId="022E7FD6" w14:textId="77777777" w:rsidR="004F11CA" w:rsidRDefault="00C44941">
            <w:r>
              <w:rPr>
                <w:sz w:val="17"/>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328" w:type="dxa"/>
          </w:tcPr>
          <w:p w14:paraId="4CEADB84" w14:textId="77777777" w:rsidR="004F11CA" w:rsidRDefault="00C44941">
            <w:r>
              <w:rPr>
                <w:sz w:val="17"/>
              </w:rPr>
              <w:t>Methods - Risk of bias assessment; Appendix 7 (detailed RoB 2 and ROBINS-I V2 assessments)</w:t>
            </w:r>
          </w:p>
        </w:tc>
      </w:tr>
      <w:tr w:rsidR="004F11CA" w14:paraId="30271FF8" w14:textId="77777777">
        <w:tc>
          <w:tcPr>
            <w:tcW w:w="2160" w:type="dxa"/>
          </w:tcPr>
          <w:p w14:paraId="7DDF3356" w14:textId="77777777" w:rsidR="004F11CA" w:rsidRDefault="00C44941">
            <w:r>
              <w:rPr>
                <w:sz w:val="17"/>
              </w:rPr>
              <w:t>Effect measures</w:t>
            </w:r>
          </w:p>
        </w:tc>
        <w:tc>
          <w:tcPr>
            <w:tcW w:w="864" w:type="dxa"/>
          </w:tcPr>
          <w:p w14:paraId="76C172AF" w14:textId="77777777" w:rsidR="004F11CA" w:rsidRDefault="00C44941">
            <w:r>
              <w:rPr>
                <w:sz w:val="17"/>
              </w:rPr>
              <w:t>12</w:t>
            </w:r>
          </w:p>
        </w:tc>
        <w:tc>
          <w:tcPr>
            <w:tcW w:w="5616" w:type="dxa"/>
          </w:tcPr>
          <w:p w14:paraId="76599AEF" w14:textId="77777777" w:rsidR="004F11CA" w:rsidRDefault="00C44941">
            <w:r>
              <w:rPr>
                <w:sz w:val="17"/>
              </w:rPr>
              <w:t>Specify for each outcome the effect measure(s) (e.g. risk ratio, mean difference) used in the synthesis or presentation of results.</w:t>
            </w:r>
          </w:p>
        </w:tc>
        <w:tc>
          <w:tcPr>
            <w:tcW w:w="5328" w:type="dxa"/>
          </w:tcPr>
          <w:p w14:paraId="6699AA4C" w14:textId="77777777" w:rsidR="004F11CA" w:rsidRDefault="00C44941">
            <w:r>
              <w:rPr>
                <w:sz w:val="17"/>
              </w:rPr>
              <w:t>Methods - Statistical analysis</w:t>
            </w:r>
          </w:p>
        </w:tc>
      </w:tr>
      <w:tr w:rsidR="004F11CA" w14:paraId="259653DE" w14:textId="77777777">
        <w:tc>
          <w:tcPr>
            <w:tcW w:w="2160" w:type="dxa"/>
          </w:tcPr>
          <w:p w14:paraId="68023852" w14:textId="77777777" w:rsidR="004F11CA" w:rsidRDefault="00C44941">
            <w:r>
              <w:rPr>
                <w:sz w:val="17"/>
              </w:rPr>
              <w:t>Synthesis methods</w:t>
            </w:r>
          </w:p>
        </w:tc>
        <w:tc>
          <w:tcPr>
            <w:tcW w:w="864" w:type="dxa"/>
          </w:tcPr>
          <w:p w14:paraId="383789B7" w14:textId="77777777" w:rsidR="004F11CA" w:rsidRDefault="00C44941">
            <w:r>
              <w:rPr>
                <w:sz w:val="17"/>
              </w:rPr>
              <w:t>13a</w:t>
            </w:r>
          </w:p>
        </w:tc>
        <w:tc>
          <w:tcPr>
            <w:tcW w:w="5616" w:type="dxa"/>
          </w:tcPr>
          <w:p w14:paraId="45AB08D9" w14:textId="77777777" w:rsidR="004F11CA" w:rsidRDefault="00C44941">
            <w:r>
              <w:rPr>
                <w:sz w:val="17"/>
              </w:rPr>
              <w:t>Describe the processes used to decide which studies were eligible for each synthesis (e.g. tabulating the study intervention characteristics and comparing against the planned groups for each synthesis (item #5)).</w:t>
            </w:r>
          </w:p>
        </w:tc>
        <w:tc>
          <w:tcPr>
            <w:tcW w:w="5328" w:type="dxa"/>
          </w:tcPr>
          <w:p w14:paraId="4D7F3EBA" w14:textId="77777777" w:rsidR="004F11CA" w:rsidRDefault="00C44941">
            <w:r>
              <w:rPr>
                <w:sz w:val="17"/>
              </w:rPr>
              <w:t>Methods - Statistical analysis; Appendix 8 (study-specific data handling decisions)</w:t>
            </w:r>
          </w:p>
        </w:tc>
      </w:tr>
      <w:tr w:rsidR="004F11CA" w14:paraId="77711EAB" w14:textId="77777777">
        <w:tc>
          <w:tcPr>
            <w:tcW w:w="2160" w:type="dxa"/>
          </w:tcPr>
          <w:p w14:paraId="131C2D83" w14:textId="77777777" w:rsidR="004F11CA" w:rsidRDefault="00C44941">
            <w:r>
              <w:rPr>
                <w:sz w:val="17"/>
              </w:rPr>
              <w:t>Synthesis methods</w:t>
            </w:r>
          </w:p>
        </w:tc>
        <w:tc>
          <w:tcPr>
            <w:tcW w:w="864" w:type="dxa"/>
          </w:tcPr>
          <w:p w14:paraId="3B0AC778" w14:textId="77777777" w:rsidR="004F11CA" w:rsidRDefault="00C44941">
            <w:r>
              <w:rPr>
                <w:sz w:val="17"/>
              </w:rPr>
              <w:t>13b</w:t>
            </w:r>
          </w:p>
        </w:tc>
        <w:tc>
          <w:tcPr>
            <w:tcW w:w="5616" w:type="dxa"/>
          </w:tcPr>
          <w:p w14:paraId="27930802" w14:textId="77777777" w:rsidR="004F11CA" w:rsidRDefault="00C44941">
            <w:r>
              <w:rPr>
                <w:sz w:val="17"/>
              </w:rPr>
              <w:t>Describe any methods required to prepare the data for presentation or synthesis, such as handling of missing summary statistics, or data conversions.</w:t>
            </w:r>
          </w:p>
        </w:tc>
        <w:tc>
          <w:tcPr>
            <w:tcW w:w="5328" w:type="dxa"/>
          </w:tcPr>
          <w:p w14:paraId="4EA6FE28" w14:textId="77777777" w:rsidR="004F11CA" w:rsidRDefault="00C44941">
            <w:r>
              <w:rPr>
                <w:sz w:val="17"/>
              </w:rPr>
              <w:t>Methods - Statistical analysis; Appendix 8 (handling of multi-arm trials, non-reconstructable outcomes)</w:t>
            </w:r>
          </w:p>
        </w:tc>
      </w:tr>
      <w:tr w:rsidR="004F11CA" w14:paraId="6F2682FC" w14:textId="77777777">
        <w:tc>
          <w:tcPr>
            <w:tcW w:w="2160" w:type="dxa"/>
          </w:tcPr>
          <w:p w14:paraId="49B273AA" w14:textId="77777777" w:rsidR="004F11CA" w:rsidRDefault="00C44941">
            <w:r>
              <w:rPr>
                <w:sz w:val="17"/>
              </w:rPr>
              <w:t>Synthesis methods</w:t>
            </w:r>
          </w:p>
        </w:tc>
        <w:tc>
          <w:tcPr>
            <w:tcW w:w="864" w:type="dxa"/>
          </w:tcPr>
          <w:p w14:paraId="5E0C302D" w14:textId="77777777" w:rsidR="004F11CA" w:rsidRDefault="00C44941">
            <w:r>
              <w:rPr>
                <w:sz w:val="17"/>
              </w:rPr>
              <w:t>13c</w:t>
            </w:r>
          </w:p>
        </w:tc>
        <w:tc>
          <w:tcPr>
            <w:tcW w:w="5616" w:type="dxa"/>
          </w:tcPr>
          <w:p w14:paraId="14A10C03" w14:textId="77777777" w:rsidR="004F11CA" w:rsidRDefault="00C44941">
            <w:r>
              <w:rPr>
                <w:sz w:val="17"/>
              </w:rPr>
              <w:t>Describe any methods used to tabulate or visually display results of individual studies and syntheses.</w:t>
            </w:r>
          </w:p>
        </w:tc>
        <w:tc>
          <w:tcPr>
            <w:tcW w:w="5328" w:type="dxa"/>
          </w:tcPr>
          <w:p w14:paraId="01568485" w14:textId="77777777" w:rsidR="004F11CA" w:rsidRDefault="00C44941">
            <w:r>
              <w:rPr>
                <w:sz w:val="17"/>
              </w:rPr>
              <w:t>Results - Outcomes; Fig. 2; Figs. 3 and 4; Supplementary Fig. 2 (funnel plot); Table 1</w:t>
            </w:r>
          </w:p>
        </w:tc>
      </w:tr>
      <w:tr w:rsidR="004F11CA" w14:paraId="7800ABD9" w14:textId="77777777">
        <w:tc>
          <w:tcPr>
            <w:tcW w:w="2160" w:type="dxa"/>
          </w:tcPr>
          <w:p w14:paraId="337BDEE2" w14:textId="77777777" w:rsidR="004F11CA" w:rsidRDefault="00C44941">
            <w:r>
              <w:rPr>
                <w:sz w:val="17"/>
              </w:rPr>
              <w:t>Synthesis methods</w:t>
            </w:r>
          </w:p>
        </w:tc>
        <w:tc>
          <w:tcPr>
            <w:tcW w:w="864" w:type="dxa"/>
          </w:tcPr>
          <w:p w14:paraId="32224152" w14:textId="77777777" w:rsidR="004F11CA" w:rsidRDefault="00C44941">
            <w:r>
              <w:rPr>
                <w:sz w:val="17"/>
              </w:rPr>
              <w:t>13d</w:t>
            </w:r>
          </w:p>
        </w:tc>
        <w:tc>
          <w:tcPr>
            <w:tcW w:w="5616" w:type="dxa"/>
          </w:tcPr>
          <w:p w14:paraId="6730A99F" w14:textId="77777777" w:rsidR="004F11CA" w:rsidRDefault="00C44941">
            <w:r>
              <w:rPr>
                <w:sz w:val="17"/>
              </w:rPr>
              <w:t xml:space="preserve">Describe any methods used to synthesize results and provide a rationale for the </w:t>
            </w:r>
            <w:r>
              <w:rPr>
                <w:sz w:val="17"/>
              </w:rPr>
              <w:lastRenderedPageBreak/>
              <w:t>choice(s). If meta-analysis was performed, describe the model(s), method(s) to identify the presence and extent of statistical heterogeneity, and software package(s) used.</w:t>
            </w:r>
          </w:p>
        </w:tc>
        <w:tc>
          <w:tcPr>
            <w:tcW w:w="5328" w:type="dxa"/>
          </w:tcPr>
          <w:p w14:paraId="50E839DD" w14:textId="77777777" w:rsidR="004F11CA" w:rsidRDefault="00C44941">
            <w:r>
              <w:rPr>
                <w:sz w:val="17"/>
              </w:rPr>
              <w:lastRenderedPageBreak/>
              <w:t xml:space="preserve">Methods - Statistical analysis (random-effects model, DerSimonian-Laird; chi-sq and I-sq; </w:t>
            </w:r>
            <w:r>
              <w:rPr>
                <w:sz w:val="17"/>
              </w:rPr>
              <w:lastRenderedPageBreak/>
              <w:t>RevMan 5)</w:t>
            </w:r>
          </w:p>
        </w:tc>
      </w:tr>
      <w:tr w:rsidR="004F11CA" w14:paraId="75619A6C" w14:textId="77777777">
        <w:tc>
          <w:tcPr>
            <w:tcW w:w="2160" w:type="dxa"/>
          </w:tcPr>
          <w:p w14:paraId="4CCD987F" w14:textId="77777777" w:rsidR="004F11CA" w:rsidRDefault="00C44941">
            <w:r>
              <w:rPr>
                <w:sz w:val="17"/>
              </w:rPr>
              <w:lastRenderedPageBreak/>
              <w:t>Synthesis methods</w:t>
            </w:r>
          </w:p>
        </w:tc>
        <w:tc>
          <w:tcPr>
            <w:tcW w:w="864" w:type="dxa"/>
          </w:tcPr>
          <w:p w14:paraId="066012F0" w14:textId="77777777" w:rsidR="004F11CA" w:rsidRDefault="00C44941">
            <w:r>
              <w:rPr>
                <w:sz w:val="17"/>
              </w:rPr>
              <w:t>13e</w:t>
            </w:r>
          </w:p>
        </w:tc>
        <w:tc>
          <w:tcPr>
            <w:tcW w:w="5616" w:type="dxa"/>
          </w:tcPr>
          <w:p w14:paraId="2EC329A6" w14:textId="77777777" w:rsidR="004F11CA" w:rsidRDefault="00C44941">
            <w:r>
              <w:rPr>
                <w:sz w:val="17"/>
              </w:rPr>
              <w:t>Describe any methods used to explore possible causes of heterogeneity among study results (e.g. subgroup analysis, meta-regression).</w:t>
            </w:r>
          </w:p>
        </w:tc>
        <w:tc>
          <w:tcPr>
            <w:tcW w:w="5328" w:type="dxa"/>
          </w:tcPr>
          <w:p w14:paraId="1021A272" w14:textId="77777777" w:rsidR="004F11CA" w:rsidRDefault="00C44941">
            <w:r>
              <w:rPr>
                <w:sz w:val="17"/>
              </w:rPr>
              <w:t>Methods - Subgroup analysis; Appendix 5 (detailed subgroup rationale)</w:t>
            </w:r>
          </w:p>
        </w:tc>
      </w:tr>
      <w:tr w:rsidR="004F11CA" w14:paraId="657FF9DB" w14:textId="77777777">
        <w:tc>
          <w:tcPr>
            <w:tcW w:w="2160" w:type="dxa"/>
          </w:tcPr>
          <w:p w14:paraId="3C6E051D" w14:textId="77777777" w:rsidR="004F11CA" w:rsidRDefault="00C44941">
            <w:r>
              <w:rPr>
                <w:sz w:val="17"/>
              </w:rPr>
              <w:t>Synthesis methods</w:t>
            </w:r>
          </w:p>
        </w:tc>
        <w:tc>
          <w:tcPr>
            <w:tcW w:w="864" w:type="dxa"/>
          </w:tcPr>
          <w:p w14:paraId="63C70851" w14:textId="77777777" w:rsidR="004F11CA" w:rsidRDefault="00C44941">
            <w:r>
              <w:rPr>
                <w:sz w:val="17"/>
              </w:rPr>
              <w:t>13f</w:t>
            </w:r>
          </w:p>
        </w:tc>
        <w:tc>
          <w:tcPr>
            <w:tcW w:w="5616" w:type="dxa"/>
          </w:tcPr>
          <w:p w14:paraId="65970302" w14:textId="77777777" w:rsidR="004F11CA" w:rsidRDefault="00C44941">
            <w:r>
              <w:rPr>
                <w:sz w:val="17"/>
              </w:rPr>
              <w:t>Describe any sensitivity analyses conducted to assess robustness of the synthesized results.</w:t>
            </w:r>
          </w:p>
        </w:tc>
        <w:tc>
          <w:tcPr>
            <w:tcW w:w="5328" w:type="dxa"/>
          </w:tcPr>
          <w:p w14:paraId="6D5B6008" w14:textId="77777777" w:rsidR="004F11CA" w:rsidRDefault="00C44941">
            <w:r>
              <w:rPr>
                <w:sz w:val="17"/>
              </w:rPr>
              <w:t>Methods - Sensitivity analyses; Appendix 5 (sensitivity analysis rationale); Supplementary Fig. 3 (sensitivity analysis forest plot)</w:t>
            </w:r>
          </w:p>
        </w:tc>
      </w:tr>
      <w:tr w:rsidR="004F11CA" w14:paraId="172EA521" w14:textId="77777777">
        <w:tc>
          <w:tcPr>
            <w:tcW w:w="2160" w:type="dxa"/>
          </w:tcPr>
          <w:p w14:paraId="79A13693" w14:textId="77777777" w:rsidR="004F11CA" w:rsidRDefault="00C44941">
            <w:r>
              <w:rPr>
                <w:sz w:val="17"/>
              </w:rPr>
              <w:t>Reporting bias assessment</w:t>
            </w:r>
          </w:p>
        </w:tc>
        <w:tc>
          <w:tcPr>
            <w:tcW w:w="864" w:type="dxa"/>
          </w:tcPr>
          <w:p w14:paraId="38B79472" w14:textId="77777777" w:rsidR="004F11CA" w:rsidRDefault="00C44941">
            <w:r>
              <w:rPr>
                <w:sz w:val="17"/>
              </w:rPr>
              <w:t>14</w:t>
            </w:r>
          </w:p>
        </w:tc>
        <w:tc>
          <w:tcPr>
            <w:tcW w:w="5616" w:type="dxa"/>
          </w:tcPr>
          <w:p w14:paraId="75C6BABE" w14:textId="77777777" w:rsidR="004F11CA" w:rsidRDefault="00C44941">
            <w:r>
              <w:rPr>
                <w:sz w:val="17"/>
              </w:rPr>
              <w:t>Describe any methods used to assess risk of bias due to missing results in a synthesis (arising from reporting biases).</w:t>
            </w:r>
          </w:p>
        </w:tc>
        <w:tc>
          <w:tcPr>
            <w:tcW w:w="5328" w:type="dxa"/>
          </w:tcPr>
          <w:p w14:paraId="63F7095A" w14:textId="77777777" w:rsidR="004F11CA" w:rsidRDefault="00C44941">
            <w:r>
              <w:rPr>
                <w:sz w:val="17"/>
              </w:rPr>
              <w:t>Methods - Publication bias; Results - Primary outcome (UGIB) (funnel plot, Supplementary Fig. 2)</w:t>
            </w:r>
          </w:p>
        </w:tc>
      </w:tr>
      <w:tr w:rsidR="004F11CA" w14:paraId="2F406CC1" w14:textId="77777777">
        <w:tc>
          <w:tcPr>
            <w:tcW w:w="2160" w:type="dxa"/>
          </w:tcPr>
          <w:p w14:paraId="738197E3" w14:textId="77777777" w:rsidR="004F11CA" w:rsidRDefault="00C44941">
            <w:r>
              <w:rPr>
                <w:sz w:val="17"/>
              </w:rPr>
              <w:t>Certainty assessment</w:t>
            </w:r>
          </w:p>
        </w:tc>
        <w:tc>
          <w:tcPr>
            <w:tcW w:w="864" w:type="dxa"/>
          </w:tcPr>
          <w:p w14:paraId="4DACC272" w14:textId="77777777" w:rsidR="004F11CA" w:rsidRDefault="00C44941">
            <w:r>
              <w:rPr>
                <w:sz w:val="17"/>
              </w:rPr>
              <w:t>15</w:t>
            </w:r>
          </w:p>
        </w:tc>
        <w:tc>
          <w:tcPr>
            <w:tcW w:w="5616" w:type="dxa"/>
          </w:tcPr>
          <w:p w14:paraId="77AC674D" w14:textId="77777777" w:rsidR="004F11CA" w:rsidRDefault="00C44941">
            <w:r>
              <w:rPr>
                <w:sz w:val="17"/>
              </w:rPr>
              <w:t>Describe any methods used to assess certainty (or confidence) in the body of evidence for an outcome.</w:t>
            </w:r>
          </w:p>
        </w:tc>
        <w:tc>
          <w:tcPr>
            <w:tcW w:w="5328" w:type="dxa"/>
          </w:tcPr>
          <w:p w14:paraId="2C03F7A6" w14:textId="77777777" w:rsidR="004F11CA" w:rsidRDefault="00C44941">
            <w:r>
              <w:rPr>
                <w:sz w:val="17"/>
              </w:rPr>
              <w:t>Methods - Assessment of the certainty of the evidence; Appendix 6 (GRADE details)</w:t>
            </w:r>
          </w:p>
        </w:tc>
      </w:tr>
      <w:tr w:rsidR="004F11CA" w14:paraId="66B9842B" w14:textId="77777777">
        <w:tc>
          <w:tcPr>
            <w:tcW w:w="15104" w:type="dxa"/>
            <w:gridSpan w:val="4"/>
          </w:tcPr>
          <w:p w14:paraId="5598EC99" w14:textId="77777777" w:rsidR="004F11CA" w:rsidRDefault="00C44941">
            <w:r>
              <w:rPr>
                <w:b/>
                <w:sz w:val="17"/>
              </w:rPr>
              <w:t>RESULTS</w:t>
            </w:r>
          </w:p>
        </w:tc>
      </w:tr>
      <w:tr w:rsidR="004F11CA" w14:paraId="354DD6D1" w14:textId="77777777">
        <w:tc>
          <w:tcPr>
            <w:tcW w:w="2160" w:type="dxa"/>
          </w:tcPr>
          <w:p w14:paraId="7610569C" w14:textId="77777777" w:rsidR="004F11CA" w:rsidRDefault="00C44941">
            <w:r>
              <w:rPr>
                <w:sz w:val="17"/>
              </w:rPr>
              <w:t>Study selection</w:t>
            </w:r>
          </w:p>
        </w:tc>
        <w:tc>
          <w:tcPr>
            <w:tcW w:w="864" w:type="dxa"/>
          </w:tcPr>
          <w:p w14:paraId="6BD79B93" w14:textId="77777777" w:rsidR="004F11CA" w:rsidRDefault="00C44941">
            <w:r>
              <w:rPr>
                <w:sz w:val="17"/>
              </w:rPr>
              <w:t>16a</w:t>
            </w:r>
          </w:p>
        </w:tc>
        <w:tc>
          <w:tcPr>
            <w:tcW w:w="5616" w:type="dxa"/>
          </w:tcPr>
          <w:p w14:paraId="49784ED0" w14:textId="77777777" w:rsidR="004F11CA" w:rsidRDefault="00C44941">
            <w:r>
              <w:rPr>
                <w:sz w:val="17"/>
              </w:rPr>
              <w:t>Describe the results of the search and selection process, from the number of records identified in the search to the number of studies included in the review, ideally using a flow diagram.</w:t>
            </w:r>
          </w:p>
        </w:tc>
        <w:tc>
          <w:tcPr>
            <w:tcW w:w="5328" w:type="dxa"/>
          </w:tcPr>
          <w:p w14:paraId="27745782" w14:textId="77777777" w:rsidR="004F11CA" w:rsidRDefault="00C44941">
            <w:r>
              <w:rPr>
                <w:sz w:val="17"/>
              </w:rPr>
              <w:t>Results - Study selection; Fig. 1 (PRISMA 2020 flow diagram)</w:t>
            </w:r>
          </w:p>
        </w:tc>
      </w:tr>
      <w:tr w:rsidR="004F11CA" w14:paraId="20BFA8C7" w14:textId="77777777">
        <w:tc>
          <w:tcPr>
            <w:tcW w:w="2160" w:type="dxa"/>
          </w:tcPr>
          <w:p w14:paraId="0636D96F" w14:textId="77777777" w:rsidR="004F11CA" w:rsidRDefault="00C44941">
            <w:r>
              <w:rPr>
                <w:sz w:val="17"/>
              </w:rPr>
              <w:t>Study selection</w:t>
            </w:r>
          </w:p>
        </w:tc>
        <w:tc>
          <w:tcPr>
            <w:tcW w:w="864" w:type="dxa"/>
          </w:tcPr>
          <w:p w14:paraId="01403212" w14:textId="77777777" w:rsidR="004F11CA" w:rsidRDefault="00C44941">
            <w:r>
              <w:rPr>
                <w:sz w:val="17"/>
              </w:rPr>
              <w:t>16b</w:t>
            </w:r>
          </w:p>
        </w:tc>
        <w:tc>
          <w:tcPr>
            <w:tcW w:w="5616" w:type="dxa"/>
          </w:tcPr>
          <w:p w14:paraId="16CD9F9A" w14:textId="77777777" w:rsidR="004F11CA" w:rsidRDefault="00C44941">
            <w:r>
              <w:rPr>
                <w:sz w:val="17"/>
              </w:rPr>
              <w:t>Cite studies that might appear to meet the inclusion criteria, but which were excluded, and explain why they were excluded.</w:t>
            </w:r>
          </w:p>
        </w:tc>
        <w:tc>
          <w:tcPr>
            <w:tcW w:w="5328" w:type="dxa"/>
          </w:tcPr>
          <w:p w14:paraId="6970A039" w14:textId="77777777" w:rsidR="004F11CA" w:rsidRDefault="00C44941">
            <w:r>
              <w:rPr>
                <w:sz w:val="17"/>
              </w:rPr>
              <w:t>Fig. 1 (PRISMA flow diagram). Full-text articles excluded (n = 9): Wrong population, n = 3; No control group, n = 2; Wrong outcome, n = 2; Duplicate report, n = 1; Conference abstract, n = 1.</w:t>
            </w:r>
          </w:p>
        </w:tc>
      </w:tr>
      <w:tr w:rsidR="004F11CA" w14:paraId="25E2AD75" w14:textId="77777777">
        <w:tc>
          <w:tcPr>
            <w:tcW w:w="2160" w:type="dxa"/>
          </w:tcPr>
          <w:p w14:paraId="73BA9209" w14:textId="77777777" w:rsidR="004F11CA" w:rsidRDefault="00C44941">
            <w:r>
              <w:rPr>
                <w:sz w:val="17"/>
              </w:rPr>
              <w:t>Study characteristics</w:t>
            </w:r>
          </w:p>
        </w:tc>
        <w:tc>
          <w:tcPr>
            <w:tcW w:w="864" w:type="dxa"/>
          </w:tcPr>
          <w:p w14:paraId="578168DE" w14:textId="77777777" w:rsidR="004F11CA" w:rsidRDefault="00C44941">
            <w:r>
              <w:rPr>
                <w:sz w:val="17"/>
              </w:rPr>
              <w:t>17</w:t>
            </w:r>
          </w:p>
        </w:tc>
        <w:tc>
          <w:tcPr>
            <w:tcW w:w="5616" w:type="dxa"/>
          </w:tcPr>
          <w:p w14:paraId="1AA0E165" w14:textId="77777777" w:rsidR="004F11CA" w:rsidRDefault="00C44941">
            <w:r>
              <w:rPr>
                <w:sz w:val="17"/>
              </w:rPr>
              <w:t>Cite each included study and present its characteristics.</w:t>
            </w:r>
          </w:p>
        </w:tc>
        <w:tc>
          <w:tcPr>
            <w:tcW w:w="5328" w:type="dxa"/>
          </w:tcPr>
          <w:p w14:paraId="28F3A3E1" w14:textId="77777777" w:rsidR="004F11CA" w:rsidRDefault="00C44941">
            <w:r>
              <w:rPr>
                <w:sz w:val="17"/>
              </w:rPr>
              <w:t>Results - Characteristics of included studies; Supplementary Tables 1 and 2</w:t>
            </w:r>
          </w:p>
        </w:tc>
      </w:tr>
      <w:tr w:rsidR="004F11CA" w14:paraId="0399B9E5" w14:textId="77777777">
        <w:tc>
          <w:tcPr>
            <w:tcW w:w="2160" w:type="dxa"/>
          </w:tcPr>
          <w:p w14:paraId="04251642" w14:textId="77777777" w:rsidR="004F11CA" w:rsidRDefault="00C44941">
            <w:r>
              <w:rPr>
                <w:sz w:val="17"/>
              </w:rPr>
              <w:t>Risk of bias in studies</w:t>
            </w:r>
          </w:p>
        </w:tc>
        <w:tc>
          <w:tcPr>
            <w:tcW w:w="864" w:type="dxa"/>
          </w:tcPr>
          <w:p w14:paraId="1DD390A9" w14:textId="77777777" w:rsidR="004F11CA" w:rsidRDefault="00C44941">
            <w:r>
              <w:rPr>
                <w:sz w:val="17"/>
              </w:rPr>
              <w:t>18</w:t>
            </w:r>
          </w:p>
        </w:tc>
        <w:tc>
          <w:tcPr>
            <w:tcW w:w="5616" w:type="dxa"/>
          </w:tcPr>
          <w:p w14:paraId="58615D17" w14:textId="77777777" w:rsidR="004F11CA" w:rsidRDefault="00C44941">
            <w:r>
              <w:rPr>
                <w:sz w:val="17"/>
              </w:rPr>
              <w:t>Present assessments of risk of bias for each included study.</w:t>
            </w:r>
          </w:p>
        </w:tc>
        <w:tc>
          <w:tcPr>
            <w:tcW w:w="5328" w:type="dxa"/>
          </w:tcPr>
          <w:p w14:paraId="2A3D0FF3" w14:textId="77777777" w:rsidR="004F11CA" w:rsidRDefault="00C44941">
            <w:r>
              <w:rPr>
                <w:sz w:val="17"/>
              </w:rPr>
              <w:t>Results - Risk of bias assessment; Supplementary Fig. 1; Appendix 7 (RoB 2 per outcome per study; ROBINS-I V2 triage and domain assessments)</w:t>
            </w:r>
          </w:p>
        </w:tc>
      </w:tr>
      <w:tr w:rsidR="004F11CA" w14:paraId="20502F52" w14:textId="77777777">
        <w:tc>
          <w:tcPr>
            <w:tcW w:w="2160" w:type="dxa"/>
          </w:tcPr>
          <w:p w14:paraId="3B7D26C9" w14:textId="77777777" w:rsidR="004F11CA" w:rsidRDefault="00C44941">
            <w:r>
              <w:rPr>
                <w:sz w:val="17"/>
              </w:rPr>
              <w:t>Results of individual studies</w:t>
            </w:r>
          </w:p>
        </w:tc>
        <w:tc>
          <w:tcPr>
            <w:tcW w:w="864" w:type="dxa"/>
          </w:tcPr>
          <w:p w14:paraId="4B45C762" w14:textId="77777777" w:rsidR="004F11CA" w:rsidRDefault="00C44941">
            <w:r>
              <w:rPr>
                <w:sz w:val="17"/>
              </w:rPr>
              <w:t>19</w:t>
            </w:r>
          </w:p>
        </w:tc>
        <w:tc>
          <w:tcPr>
            <w:tcW w:w="5616" w:type="dxa"/>
          </w:tcPr>
          <w:p w14:paraId="4EFED6B0" w14:textId="77777777" w:rsidR="004F11CA" w:rsidRDefault="00C44941">
            <w:r>
              <w:rPr>
                <w:sz w:val="17"/>
              </w:rPr>
              <w:t>For all outcomes, present, for each study: (a) summary statistics for each group (where appropriate) and (b) an effect estimate and its precision (e.g. confidence/credible interval), ideally using structured tables or plots.</w:t>
            </w:r>
          </w:p>
        </w:tc>
        <w:tc>
          <w:tcPr>
            <w:tcW w:w="5328" w:type="dxa"/>
          </w:tcPr>
          <w:p w14:paraId="217F00D8" w14:textId="77777777" w:rsidR="004F11CA" w:rsidRDefault="00C44941">
            <w:r>
              <w:rPr>
                <w:sz w:val="17"/>
              </w:rPr>
              <w:t>Results - Outcomes; Fig. 2; Fig. 3; Supplementary Table 1</w:t>
            </w:r>
          </w:p>
        </w:tc>
      </w:tr>
      <w:tr w:rsidR="004F11CA" w14:paraId="15BCBD5F" w14:textId="77777777">
        <w:tc>
          <w:tcPr>
            <w:tcW w:w="2160" w:type="dxa"/>
          </w:tcPr>
          <w:p w14:paraId="3F340FE4" w14:textId="77777777" w:rsidR="004F11CA" w:rsidRDefault="00C44941">
            <w:r>
              <w:rPr>
                <w:sz w:val="17"/>
              </w:rPr>
              <w:t>Results of syntheses</w:t>
            </w:r>
          </w:p>
        </w:tc>
        <w:tc>
          <w:tcPr>
            <w:tcW w:w="864" w:type="dxa"/>
          </w:tcPr>
          <w:p w14:paraId="4B527305" w14:textId="77777777" w:rsidR="004F11CA" w:rsidRDefault="00C44941">
            <w:r>
              <w:rPr>
                <w:sz w:val="17"/>
              </w:rPr>
              <w:t>20a</w:t>
            </w:r>
          </w:p>
        </w:tc>
        <w:tc>
          <w:tcPr>
            <w:tcW w:w="5616" w:type="dxa"/>
          </w:tcPr>
          <w:p w14:paraId="351374D0" w14:textId="77777777" w:rsidR="004F11CA" w:rsidRDefault="00C44941">
            <w:r>
              <w:rPr>
                <w:sz w:val="17"/>
              </w:rPr>
              <w:t>For each synthesis, briefly summarise the characteristics and risk of bias among contributing studies.</w:t>
            </w:r>
          </w:p>
        </w:tc>
        <w:tc>
          <w:tcPr>
            <w:tcW w:w="5328" w:type="dxa"/>
          </w:tcPr>
          <w:p w14:paraId="46751BEA" w14:textId="77777777" w:rsidR="004F11CA" w:rsidRDefault="00C44941">
            <w:r>
              <w:rPr>
                <w:sz w:val="17"/>
              </w:rPr>
              <w:t>Results - Outcomes (each outcome section describes characteristics and RoB of contributing studies)</w:t>
            </w:r>
          </w:p>
        </w:tc>
      </w:tr>
      <w:tr w:rsidR="004F11CA" w14:paraId="4AD3A780" w14:textId="77777777">
        <w:tc>
          <w:tcPr>
            <w:tcW w:w="2160" w:type="dxa"/>
          </w:tcPr>
          <w:p w14:paraId="04B9A56E" w14:textId="77777777" w:rsidR="004F11CA" w:rsidRDefault="00C44941">
            <w:r>
              <w:rPr>
                <w:sz w:val="17"/>
              </w:rPr>
              <w:t>Results of syntheses</w:t>
            </w:r>
          </w:p>
        </w:tc>
        <w:tc>
          <w:tcPr>
            <w:tcW w:w="864" w:type="dxa"/>
          </w:tcPr>
          <w:p w14:paraId="610C1E1D" w14:textId="77777777" w:rsidR="004F11CA" w:rsidRDefault="00C44941">
            <w:r>
              <w:rPr>
                <w:sz w:val="17"/>
              </w:rPr>
              <w:t>20b</w:t>
            </w:r>
          </w:p>
        </w:tc>
        <w:tc>
          <w:tcPr>
            <w:tcW w:w="5616" w:type="dxa"/>
          </w:tcPr>
          <w:p w14:paraId="28EC1E5F" w14:textId="77777777" w:rsidR="004F11CA" w:rsidRDefault="00C44941">
            <w:r>
              <w:rPr>
                <w:sz w:val="17"/>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328" w:type="dxa"/>
          </w:tcPr>
          <w:p w14:paraId="0555E234" w14:textId="77777777" w:rsidR="004F11CA" w:rsidRDefault="00C44941">
            <w:r>
              <w:rPr>
                <w:sz w:val="17"/>
              </w:rPr>
              <w:t>Results - Outcomes; Fig. 2; Fig. 3</w:t>
            </w:r>
          </w:p>
        </w:tc>
      </w:tr>
      <w:tr w:rsidR="004F11CA" w14:paraId="15B9D722" w14:textId="77777777">
        <w:tc>
          <w:tcPr>
            <w:tcW w:w="2160" w:type="dxa"/>
          </w:tcPr>
          <w:p w14:paraId="34CDC5B3" w14:textId="77777777" w:rsidR="004F11CA" w:rsidRDefault="00C44941">
            <w:r>
              <w:rPr>
                <w:sz w:val="17"/>
              </w:rPr>
              <w:t>Results of syntheses</w:t>
            </w:r>
          </w:p>
        </w:tc>
        <w:tc>
          <w:tcPr>
            <w:tcW w:w="864" w:type="dxa"/>
          </w:tcPr>
          <w:p w14:paraId="55262297" w14:textId="77777777" w:rsidR="004F11CA" w:rsidRDefault="00C44941">
            <w:r>
              <w:rPr>
                <w:sz w:val="17"/>
              </w:rPr>
              <w:t>20c</w:t>
            </w:r>
          </w:p>
        </w:tc>
        <w:tc>
          <w:tcPr>
            <w:tcW w:w="5616" w:type="dxa"/>
          </w:tcPr>
          <w:p w14:paraId="3309EE65" w14:textId="77777777" w:rsidR="004F11CA" w:rsidRDefault="00C44941">
            <w:r>
              <w:rPr>
                <w:sz w:val="17"/>
              </w:rPr>
              <w:t>Present results of all investigations of possible causes of heterogeneity among study results.</w:t>
            </w:r>
          </w:p>
        </w:tc>
        <w:tc>
          <w:tcPr>
            <w:tcW w:w="5328" w:type="dxa"/>
          </w:tcPr>
          <w:p w14:paraId="1F0B75FB" w14:textId="77777777" w:rsidR="004F11CA" w:rsidRDefault="00C44941">
            <w:r>
              <w:rPr>
                <w:sz w:val="17"/>
              </w:rPr>
              <w:t>Results - Subgroup analyses; Fig. 4; Appendix 8 (infeasible subgroups)</w:t>
            </w:r>
          </w:p>
        </w:tc>
      </w:tr>
      <w:tr w:rsidR="004F11CA" w14:paraId="7F623EA1" w14:textId="77777777">
        <w:tc>
          <w:tcPr>
            <w:tcW w:w="2160" w:type="dxa"/>
          </w:tcPr>
          <w:p w14:paraId="157EE8A1" w14:textId="77777777" w:rsidR="004F11CA" w:rsidRDefault="00C44941">
            <w:r>
              <w:rPr>
                <w:sz w:val="17"/>
              </w:rPr>
              <w:t>Results of syntheses</w:t>
            </w:r>
          </w:p>
        </w:tc>
        <w:tc>
          <w:tcPr>
            <w:tcW w:w="864" w:type="dxa"/>
          </w:tcPr>
          <w:p w14:paraId="40AF2195" w14:textId="77777777" w:rsidR="004F11CA" w:rsidRDefault="00C44941">
            <w:r>
              <w:rPr>
                <w:sz w:val="17"/>
              </w:rPr>
              <w:t>20d</w:t>
            </w:r>
          </w:p>
        </w:tc>
        <w:tc>
          <w:tcPr>
            <w:tcW w:w="5616" w:type="dxa"/>
          </w:tcPr>
          <w:p w14:paraId="19A83AB5" w14:textId="77777777" w:rsidR="004F11CA" w:rsidRDefault="00C44941">
            <w:r>
              <w:rPr>
                <w:sz w:val="17"/>
              </w:rPr>
              <w:t>Present results of all sensitivity analyses conducted to assess the robustness of the synthesized results.</w:t>
            </w:r>
          </w:p>
        </w:tc>
        <w:tc>
          <w:tcPr>
            <w:tcW w:w="5328" w:type="dxa"/>
          </w:tcPr>
          <w:p w14:paraId="65E0E29B" w14:textId="77777777" w:rsidR="004F11CA" w:rsidRDefault="00C44941">
            <w:r>
              <w:rPr>
                <w:sz w:val="17"/>
              </w:rPr>
              <w:t>Results - Sensitivity analysis; Supplementary Fig. 3</w:t>
            </w:r>
          </w:p>
        </w:tc>
      </w:tr>
      <w:tr w:rsidR="004F11CA" w14:paraId="15B91FE6" w14:textId="77777777">
        <w:tc>
          <w:tcPr>
            <w:tcW w:w="2160" w:type="dxa"/>
          </w:tcPr>
          <w:p w14:paraId="77099D06" w14:textId="77777777" w:rsidR="004F11CA" w:rsidRDefault="00C44941">
            <w:r>
              <w:rPr>
                <w:sz w:val="17"/>
              </w:rPr>
              <w:t>Reporting biases</w:t>
            </w:r>
          </w:p>
        </w:tc>
        <w:tc>
          <w:tcPr>
            <w:tcW w:w="864" w:type="dxa"/>
          </w:tcPr>
          <w:p w14:paraId="46D9D6CE" w14:textId="77777777" w:rsidR="004F11CA" w:rsidRDefault="00C44941">
            <w:r>
              <w:rPr>
                <w:sz w:val="17"/>
              </w:rPr>
              <w:t>21</w:t>
            </w:r>
          </w:p>
        </w:tc>
        <w:tc>
          <w:tcPr>
            <w:tcW w:w="5616" w:type="dxa"/>
          </w:tcPr>
          <w:p w14:paraId="2E127EC5" w14:textId="77777777" w:rsidR="004F11CA" w:rsidRDefault="00C44941">
            <w:r>
              <w:rPr>
                <w:sz w:val="17"/>
              </w:rPr>
              <w:t>Present assessments of risk of bias due to missing results (arising from reporting biases) for each synthesis assessed.</w:t>
            </w:r>
          </w:p>
        </w:tc>
        <w:tc>
          <w:tcPr>
            <w:tcW w:w="5328" w:type="dxa"/>
          </w:tcPr>
          <w:p w14:paraId="16960E8E" w14:textId="77777777" w:rsidR="004F11CA" w:rsidRDefault="00C44941">
            <w:r>
              <w:rPr>
                <w:sz w:val="17"/>
              </w:rPr>
              <w:t>Results - Primary outcome (UGIB) (funnel plot; formal tests not performed due to &lt;10 studies); Supplementary Fig. 2</w:t>
            </w:r>
          </w:p>
        </w:tc>
      </w:tr>
      <w:tr w:rsidR="004F11CA" w14:paraId="7876AA2E" w14:textId="77777777">
        <w:tc>
          <w:tcPr>
            <w:tcW w:w="2160" w:type="dxa"/>
          </w:tcPr>
          <w:p w14:paraId="7A098AE0" w14:textId="77777777" w:rsidR="004F11CA" w:rsidRDefault="00C44941">
            <w:r>
              <w:rPr>
                <w:sz w:val="17"/>
              </w:rPr>
              <w:t>Certainty of evidence</w:t>
            </w:r>
          </w:p>
        </w:tc>
        <w:tc>
          <w:tcPr>
            <w:tcW w:w="864" w:type="dxa"/>
          </w:tcPr>
          <w:p w14:paraId="5B21A8C9" w14:textId="77777777" w:rsidR="004F11CA" w:rsidRDefault="00C44941">
            <w:r>
              <w:rPr>
                <w:sz w:val="17"/>
              </w:rPr>
              <w:t>22</w:t>
            </w:r>
          </w:p>
        </w:tc>
        <w:tc>
          <w:tcPr>
            <w:tcW w:w="5616" w:type="dxa"/>
          </w:tcPr>
          <w:p w14:paraId="35551923" w14:textId="77777777" w:rsidR="004F11CA" w:rsidRDefault="00C44941">
            <w:r>
              <w:rPr>
                <w:sz w:val="17"/>
              </w:rPr>
              <w:t>Present assessments of certainty (or confidence) in the body of evidence for each outcome assessed.</w:t>
            </w:r>
          </w:p>
        </w:tc>
        <w:tc>
          <w:tcPr>
            <w:tcW w:w="5328" w:type="dxa"/>
          </w:tcPr>
          <w:p w14:paraId="1CB21FB2" w14:textId="77777777" w:rsidR="004F11CA" w:rsidRDefault="00C44941">
            <w:r>
              <w:rPr>
                <w:sz w:val="17"/>
              </w:rPr>
              <w:t>Results - The certainty of the evidence and summary of findings; Table 1; Appendix 6</w:t>
            </w:r>
          </w:p>
        </w:tc>
      </w:tr>
      <w:tr w:rsidR="004F11CA" w14:paraId="6B2319DC" w14:textId="77777777">
        <w:tc>
          <w:tcPr>
            <w:tcW w:w="15104" w:type="dxa"/>
            <w:gridSpan w:val="4"/>
          </w:tcPr>
          <w:p w14:paraId="7B6BA197" w14:textId="77777777" w:rsidR="004F11CA" w:rsidRDefault="00C44941">
            <w:r>
              <w:rPr>
                <w:b/>
                <w:sz w:val="17"/>
              </w:rPr>
              <w:t>DISCUSSION</w:t>
            </w:r>
          </w:p>
        </w:tc>
      </w:tr>
      <w:tr w:rsidR="004F11CA" w14:paraId="47B81172" w14:textId="77777777">
        <w:tc>
          <w:tcPr>
            <w:tcW w:w="2160" w:type="dxa"/>
          </w:tcPr>
          <w:p w14:paraId="3CA3FE70" w14:textId="77777777" w:rsidR="004F11CA" w:rsidRDefault="00C44941">
            <w:r>
              <w:rPr>
                <w:sz w:val="17"/>
              </w:rPr>
              <w:t>Discussion</w:t>
            </w:r>
          </w:p>
        </w:tc>
        <w:tc>
          <w:tcPr>
            <w:tcW w:w="864" w:type="dxa"/>
          </w:tcPr>
          <w:p w14:paraId="7A64EFB7" w14:textId="77777777" w:rsidR="004F11CA" w:rsidRDefault="00C44941">
            <w:r>
              <w:rPr>
                <w:sz w:val="17"/>
              </w:rPr>
              <w:t>23a</w:t>
            </w:r>
          </w:p>
        </w:tc>
        <w:tc>
          <w:tcPr>
            <w:tcW w:w="5616" w:type="dxa"/>
          </w:tcPr>
          <w:p w14:paraId="0D4D484E" w14:textId="77777777" w:rsidR="004F11CA" w:rsidRDefault="00C44941">
            <w:r>
              <w:rPr>
                <w:sz w:val="17"/>
              </w:rPr>
              <w:t>Provide a general interpretation of the results in the context of other evidence.</w:t>
            </w:r>
          </w:p>
        </w:tc>
        <w:tc>
          <w:tcPr>
            <w:tcW w:w="5328" w:type="dxa"/>
          </w:tcPr>
          <w:p w14:paraId="68DB7F85" w14:textId="77777777" w:rsidR="004F11CA" w:rsidRDefault="00C44941">
            <w:r>
              <w:rPr>
                <w:sz w:val="17"/>
              </w:rPr>
              <w:t>Discussion</w:t>
            </w:r>
          </w:p>
        </w:tc>
      </w:tr>
      <w:tr w:rsidR="004F11CA" w14:paraId="54A1963A" w14:textId="77777777">
        <w:tc>
          <w:tcPr>
            <w:tcW w:w="2160" w:type="dxa"/>
          </w:tcPr>
          <w:p w14:paraId="7B820D1D" w14:textId="77777777" w:rsidR="004F11CA" w:rsidRDefault="00C44941">
            <w:r>
              <w:rPr>
                <w:sz w:val="17"/>
              </w:rPr>
              <w:t>Discussion</w:t>
            </w:r>
          </w:p>
        </w:tc>
        <w:tc>
          <w:tcPr>
            <w:tcW w:w="864" w:type="dxa"/>
          </w:tcPr>
          <w:p w14:paraId="473E1569" w14:textId="77777777" w:rsidR="004F11CA" w:rsidRDefault="00C44941">
            <w:r>
              <w:rPr>
                <w:sz w:val="17"/>
              </w:rPr>
              <w:t>23b</w:t>
            </w:r>
          </w:p>
        </w:tc>
        <w:tc>
          <w:tcPr>
            <w:tcW w:w="5616" w:type="dxa"/>
          </w:tcPr>
          <w:p w14:paraId="33C82AFF" w14:textId="77777777" w:rsidR="004F11CA" w:rsidRDefault="00C44941">
            <w:r>
              <w:rPr>
                <w:sz w:val="17"/>
              </w:rPr>
              <w:t>Discuss any limitations of the evidence included in the review.</w:t>
            </w:r>
          </w:p>
        </w:tc>
        <w:tc>
          <w:tcPr>
            <w:tcW w:w="5328" w:type="dxa"/>
          </w:tcPr>
          <w:p w14:paraId="212647EA" w14:textId="77777777" w:rsidR="004F11CA" w:rsidRDefault="00C44941">
            <w:r>
              <w:rPr>
                <w:sz w:val="17"/>
              </w:rPr>
              <w:t>Discussion (limitations paragraph)</w:t>
            </w:r>
          </w:p>
        </w:tc>
      </w:tr>
      <w:tr w:rsidR="004F11CA" w14:paraId="52886075" w14:textId="77777777">
        <w:tc>
          <w:tcPr>
            <w:tcW w:w="2160" w:type="dxa"/>
          </w:tcPr>
          <w:p w14:paraId="560D0E14" w14:textId="77777777" w:rsidR="004F11CA" w:rsidRDefault="00C44941">
            <w:r>
              <w:rPr>
                <w:sz w:val="17"/>
              </w:rPr>
              <w:t>Discussion</w:t>
            </w:r>
          </w:p>
        </w:tc>
        <w:tc>
          <w:tcPr>
            <w:tcW w:w="864" w:type="dxa"/>
          </w:tcPr>
          <w:p w14:paraId="4DE1FB64" w14:textId="77777777" w:rsidR="004F11CA" w:rsidRDefault="00C44941">
            <w:r>
              <w:rPr>
                <w:sz w:val="17"/>
              </w:rPr>
              <w:t>23c</w:t>
            </w:r>
          </w:p>
        </w:tc>
        <w:tc>
          <w:tcPr>
            <w:tcW w:w="5616" w:type="dxa"/>
          </w:tcPr>
          <w:p w14:paraId="71761B45" w14:textId="77777777" w:rsidR="004F11CA" w:rsidRDefault="00C44941">
            <w:r>
              <w:rPr>
                <w:sz w:val="17"/>
              </w:rPr>
              <w:t>Discuss any limitations of the review processes used.</w:t>
            </w:r>
          </w:p>
        </w:tc>
        <w:tc>
          <w:tcPr>
            <w:tcW w:w="5328" w:type="dxa"/>
          </w:tcPr>
          <w:p w14:paraId="5B010E24" w14:textId="77777777" w:rsidR="004F11CA" w:rsidRDefault="00C44941">
            <w:r>
              <w:rPr>
                <w:sz w:val="17"/>
              </w:rPr>
              <w:t>Discussion (limitations paragraph)</w:t>
            </w:r>
          </w:p>
        </w:tc>
      </w:tr>
      <w:tr w:rsidR="004F11CA" w14:paraId="542D663B" w14:textId="77777777">
        <w:tc>
          <w:tcPr>
            <w:tcW w:w="2160" w:type="dxa"/>
          </w:tcPr>
          <w:p w14:paraId="54E93920" w14:textId="77777777" w:rsidR="004F11CA" w:rsidRDefault="00C44941">
            <w:r>
              <w:rPr>
                <w:sz w:val="17"/>
              </w:rPr>
              <w:t>Discussion</w:t>
            </w:r>
          </w:p>
        </w:tc>
        <w:tc>
          <w:tcPr>
            <w:tcW w:w="864" w:type="dxa"/>
          </w:tcPr>
          <w:p w14:paraId="12416B8D" w14:textId="77777777" w:rsidR="004F11CA" w:rsidRDefault="00C44941">
            <w:r>
              <w:rPr>
                <w:sz w:val="17"/>
              </w:rPr>
              <w:t>23d</w:t>
            </w:r>
          </w:p>
        </w:tc>
        <w:tc>
          <w:tcPr>
            <w:tcW w:w="5616" w:type="dxa"/>
          </w:tcPr>
          <w:p w14:paraId="72C7BB6A" w14:textId="77777777" w:rsidR="004F11CA" w:rsidRDefault="00C44941">
            <w:r>
              <w:rPr>
                <w:sz w:val="17"/>
              </w:rPr>
              <w:t>Discuss implications of the results for practice, policy, and future research.</w:t>
            </w:r>
          </w:p>
        </w:tc>
        <w:tc>
          <w:tcPr>
            <w:tcW w:w="5328" w:type="dxa"/>
          </w:tcPr>
          <w:p w14:paraId="736DBE60" w14:textId="77777777" w:rsidR="004F11CA" w:rsidRDefault="00C44941">
            <w:r>
              <w:rPr>
                <w:sz w:val="17"/>
              </w:rPr>
              <w:t>Discussion (final paragraphs); Conclusion</w:t>
            </w:r>
          </w:p>
        </w:tc>
      </w:tr>
      <w:tr w:rsidR="004F11CA" w14:paraId="5F8AF99A" w14:textId="77777777">
        <w:tc>
          <w:tcPr>
            <w:tcW w:w="15104" w:type="dxa"/>
            <w:gridSpan w:val="4"/>
          </w:tcPr>
          <w:p w14:paraId="6CB7BAED" w14:textId="77777777" w:rsidR="004F11CA" w:rsidRDefault="00C44941">
            <w:r>
              <w:rPr>
                <w:b/>
                <w:sz w:val="17"/>
              </w:rPr>
              <w:t>OTHER INFORMATION</w:t>
            </w:r>
          </w:p>
        </w:tc>
      </w:tr>
      <w:tr w:rsidR="004F11CA" w14:paraId="3664E10E" w14:textId="77777777">
        <w:tc>
          <w:tcPr>
            <w:tcW w:w="2160" w:type="dxa"/>
          </w:tcPr>
          <w:p w14:paraId="71966B2C" w14:textId="77777777" w:rsidR="004F11CA" w:rsidRDefault="00C44941">
            <w:r>
              <w:rPr>
                <w:sz w:val="17"/>
              </w:rPr>
              <w:t>Registration and protocol</w:t>
            </w:r>
          </w:p>
        </w:tc>
        <w:tc>
          <w:tcPr>
            <w:tcW w:w="864" w:type="dxa"/>
          </w:tcPr>
          <w:p w14:paraId="329A7C35" w14:textId="77777777" w:rsidR="004F11CA" w:rsidRDefault="00C44941">
            <w:r>
              <w:rPr>
                <w:sz w:val="17"/>
              </w:rPr>
              <w:t>24a</w:t>
            </w:r>
          </w:p>
        </w:tc>
        <w:tc>
          <w:tcPr>
            <w:tcW w:w="5616" w:type="dxa"/>
          </w:tcPr>
          <w:p w14:paraId="6B9BD598" w14:textId="77777777" w:rsidR="004F11CA" w:rsidRDefault="00C44941">
            <w:r>
              <w:rPr>
                <w:sz w:val="17"/>
              </w:rPr>
              <w:t>Provide registration information for the review, including register name and registration number, or state that the review was not registered.</w:t>
            </w:r>
          </w:p>
        </w:tc>
        <w:tc>
          <w:tcPr>
            <w:tcW w:w="5328" w:type="dxa"/>
          </w:tcPr>
          <w:p w14:paraId="545E07FA" w14:textId="77777777" w:rsidR="004F11CA" w:rsidRDefault="00C44941">
            <w:r>
              <w:rPr>
                <w:sz w:val="17"/>
              </w:rPr>
              <w:t>Methods (first paragraph) - PROSPERO CRD420251074125</w:t>
            </w:r>
          </w:p>
        </w:tc>
      </w:tr>
      <w:tr w:rsidR="004F11CA" w14:paraId="5CAC3DB9" w14:textId="77777777">
        <w:tc>
          <w:tcPr>
            <w:tcW w:w="2160" w:type="dxa"/>
          </w:tcPr>
          <w:p w14:paraId="571AAAC1" w14:textId="77777777" w:rsidR="004F11CA" w:rsidRDefault="00C44941">
            <w:r>
              <w:rPr>
                <w:sz w:val="17"/>
              </w:rPr>
              <w:t>Registration and protocol</w:t>
            </w:r>
          </w:p>
        </w:tc>
        <w:tc>
          <w:tcPr>
            <w:tcW w:w="864" w:type="dxa"/>
          </w:tcPr>
          <w:p w14:paraId="351591B2" w14:textId="77777777" w:rsidR="004F11CA" w:rsidRDefault="00C44941">
            <w:r>
              <w:rPr>
                <w:sz w:val="17"/>
              </w:rPr>
              <w:t>24b</w:t>
            </w:r>
          </w:p>
        </w:tc>
        <w:tc>
          <w:tcPr>
            <w:tcW w:w="5616" w:type="dxa"/>
          </w:tcPr>
          <w:p w14:paraId="17831C81" w14:textId="77777777" w:rsidR="004F11CA" w:rsidRDefault="00C44941">
            <w:r>
              <w:rPr>
                <w:sz w:val="17"/>
              </w:rPr>
              <w:t>Indicate where the review protocol can be accessed, or state that a protocol was not prepared.</w:t>
            </w:r>
          </w:p>
        </w:tc>
        <w:tc>
          <w:tcPr>
            <w:tcW w:w="5328" w:type="dxa"/>
          </w:tcPr>
          <w:p w14:paraId="1BE9353E" w14:textId="77777777" w:rsidR="004F11CA" w:rsidRDefault="00C44941">
            <w:r>
              <w:rPr>
                <w:sz w:val="17"/>
              </w:rPr>
              <w:t>Methods (first paragraph) - available via PROSPERO (CRD420251074125)</w:t>
            </w:r>
          </w:p>
        </w:tc>
      </w:tr>
      <w:tr w:rsidR="004F11CA" w14:paraId="2A4EB68B" w14:textId="77777777">
        <w:tc>
          <w:tcPr>
            <w:tcW w:w="2160" w:type="dxa"/>
          </w:tcPr>
          <w:p w14:paraId="56C8D6DF" w14:textId="77777777" w:rsidR="004F11CA" w:rsidRDefault="00C44941">
            <w:r>
              <w:rPr>
                <w:sz w:val="17"/>
              </w:rPr>
              <w:t>Registration and protocol</w:t>
            </w:r>
          </w:p>
        </w:tc>
        <w:tc>
          <w:tcPr>
            <w:tcW w:w="864" w:type="dxa"/>
          </w:tcPr>
          <w:p w14:paraId="71E7FBBB" w14:textId="77777777" w:rsidR="004F11CA" w:rsidRDefault="00C44941">
            <w:r>
              <w:rPr>
                <w:sz w:val="17"/>
              </w:rPr>
              <w:t>24c</w:t>
            </w:r>
          </w:p>
        </w:tc>
        <w:tc>
          <w:tcPr>
            <w:tcW w:w="5616" w:type="dxa"/>
          </w:tcPr>
          <w:p w14:paraId="6BB12327" w14:textId="77777777" w:rsidR="004F11CA" w:rsidRDefault="00C44941">
            <w:r>
              <w:rPr>
                <w:sz w:val="17"/>
              </w:rPr>
              <w:t xml:space="preserve">Describe and explain any amendments to information provided at registration </w:t>
            </w:r>
            <w:r>
              <w:rPr>
                <w:sz w:val="17"/>
              </w:rPr>
              <w:lastRenderedPageBreak/>
              <w:t>or in the protocol.</w:t>
            </w:r>
          </w:p>
        </w:tc>
        <w:tc>
          <w:tcPr>
            <w:tcW w:w="5328" w:type="dxa"/>
          </w:tcPr>
          <w:p w14:paraId="059E7081" w14:textId="77777777" w:rsidR="004F11CA" w:rsidRDefault="00C44941">
            <w:r>
              <w:rPr>
                <w:sz w:val="17"/>
              </w:rPr>
              <w:lastRenderedPageBreak/>
              <w:t>No amendments reported</w:t>
            </w:r>
          </w:p>
        </w:tc>
      </w:tr>
      <w:tr w:rsidR="004F11CA" w14:paraId="70283BCA" w14:textId="77777777">
        <w:tc>
          <w:tcPr>
            <w:tcW w:w="2160" w:type="dxa"/>
          </w:tcPr>
          <w:p w14:paraId="28BDB662" w14:textId="77777777" w:rsidR="004F11CA" w:rsidRDefault="00C44941">
            <w:r>
              <w:rPr>
                <w:sz w:val="17"/>
              </w:rPr>
              <w:t>Support</w:t>
            </w:r>
          </w:p>
        </w:tc>
        <w:tc>
          <w:tcPr>
            <w:tcW w:w="864" w:type="dxa"/>
          </w:tcPr>
          <w:p w14:paraId="110A96CF" w14:textId="77777777" w:rsidR="004F11CA" w:rsidRDefault="00C44941">
            <w:r>
              <w:rPr>
                <w:sz w:val="17"/>
              </w:rPr>
              <w:t>25</w:t>
            </w:r>
          </w:p>
        </w:tc>
        <w:tc>
          <w:tcPr>
            <w:tcW w:w="5616" w:type="dxa"/>
          </w:tcPr>
          <w:p w14:paraId="5E48486E" w14:textId="77777777" w:rsidR="004F11CA" w:rsidRDefault="00C44941">
            <w:r>
              <w:rPr>
                <w:sz w:val="17"/>
              </w:rPr>
              <w:t>Describe sources of financial or non-financial support for the review, and the role of the funders or sponsors in the review.</w:t>
            </w:r>
          </w:p>
        </w:tc>
        <w:tc>
          <w:tcPr>
            <w:tcW w:w="5328" w:type="dxa"/>
          </w:tcPr>
          <w:p w14:paraId="160F9DDF" w14:textId="77777777" w:rsidR="004F11CA" w:rsidRDefault="00C44941">
            <w:r>
              <w:rPr>
                <w:sz w:val="17"/>
              </w:rPr>
              <w:t>Title page (Funding: This study received no external funding)</w:t>
            </w:r>
          </w:p>
        </w:tc>
      </w:tr>
      <w:tr w:rsidR="004F11CA" w14:paraId="6B0B7393" w14:textId="77777777">
        <w:tc>
          <w:tcPr>
            <w:tcW w:w="2160" w:type="dxa"/>
          </w:tcPr>
          <w:p w14:paraId="528AB509" w14:textId="77777777" w:rsidR="004F11CA" w:rsidRDefault="00C44941">
            <w:r>
              <w:rPr>
                <w:sz w:val="17"/>
              </w:rPr>
              <w:t>Competing interests</w:t>
            </w:r>
          </w:p>
        </w:tc>
        <w:tc>
          <w:tcPr>
            <w:tcW w:w="864" w:type="dxa"/>
          </w:tcPr>
          <w:p w14:paraId="2E4FEF77" w14:textId="77777777" w:rsidR="004F11CA" w:rsidRDefault="00C44941">
            <w:r>
              <w:rPr>
                <w:sz w:val="17"/>
              </w:rPr>
              <w:t>26</w:t>
            </w:r>
          </w:p>
        </w:tc>
        <w:tc>
          <w:tcPr>
            <w:tcW w:w="5616" w:type="dxa"/>
          </w:tcPr>
          <w:p w14:paraId="4BA26FDD" w14:textId="77777777" w:rsidR="004F11CA" w:rsidRDefault="00C44941">
            <w:r>
              <w:rPr>
                <w:sz w:val="17"/>
              </w:rPr>
              <w:t>Declare any competing interests of review authors.</w:t>
            </w:r>
          </w:p>
        </w:tc>
        <w:tc>
          <w:tcPr>
            <w:tcW w:w="5328" w:type="dxa"/>
          </w:tcPr>
          <w:p w14:paraId="31AA3DA3" w14:textId="77777777" w:rsidR="004F11CA" w:rsidRDefault="00C44941">
            <w:r>
              <w:rPr>
                <w:sz w:val="17"/>
              </w:rPr>
              <w:t>Title page (Competing interests: the authors have no relevant financial or non-financial interests to disclose)</w:t>
            </w:r>
          </w:p>
        </w:tc>
      </w:tr>
      <w:tr w:rsidR="004F11CA" w14:paraId="62D392D8" w14:textId="77777777">
        <w:tc>
          <w:tcPr>
            <w:tcW w:w="2160" w:type="dxa"/>
          </w:tcPr>
          <w:p w14:paraId="315DB4AE" w14:textId="77777777" w:rsidR="004F11CA" w:rsidRDefault="00C44941">
            <w:r>
              <w:rPr>
                <w:sz w:val="17"/>
              </w:rPr>
              <w:t>Availability of data, code and other materials</w:t>
            </w:r>
          </w:p>
        </w:tc>
        <w:tc>
          <w:tcPr>
            <w:tcW w:w="864" w:type="dxa"/>
          </w:tcPr>
          <w:p w14:paraId="72E94ECD" w14:textId="77777777" w:rsidR="004F11CA" w:rsidRDefault="00C44941">
            <w:r>
              <w:rPr>
                <w:sz w:val="17"/>
              </w:rPr>
              <w:t>27</w:t>
            </w:r>
          </w:p>
        </w:tc>
        <w:tc>
          <w:tcPr>
            <w:tcW w:w="5616" w:type="dxa"/>
          </w:tcPr>
          <w:p w14:paraId="7B80F545" w14:textId="77777777" w:rsidR="004F11CA" w:rsidRDefault="00C44941">
            <w:r>
              <w:rPr>
                <w:sz w:val="17"/>
              </w:rPr>
              <w:t>Report which of the following are publicly available and where they can be found: template data collection forms; data extracted from included studies; data used for all analyses; analytic code; any other materials used in the review.</w:t>
            </w:r>
          </w:p>
        </w:tc>
        <w:tc>
          <w:tcPr>
            <w:tcW w:w="5328" w:type="dxa"/>
          </w:tcPr>
          <w:p w14:paraId="1D4E605D" w14:textId="77777777" w:rsidR="004F11CA" w:rsidRDefault="00C44941">
            <w:r>
              <w:rPr>
                <w:sz w:val="17"/>
              </w:rPr>
              <w:t>Title page (Data availability); data extracted from included studies available from the corresponding author on reasonable request</w:t>
            </w:r>
          </w:p>
        </w:tc>
      </w:tr>
    </w:tbl>
    <w:p w14:paraId="69B5581C" w14:textId="77777777" w:rsidR="004F11CA" w:rsidRDefault="00C44941">
      <w:r>
        <w:rPr>
          <w:i/>
          <w:sz w:val="16"/>
        </w:rPr>
        <w:t xml:space="preserve">From:  Page MJ, McKenzie JE, Bossuyt PM, Boutron I, Hoffmann TC, Mulrow CD, et al. The PRISMA 2020 statement: an updated guideline for reporting systematic reviews. BMJ 2021;372:n71. doi: 10.1136/bmj.n71. This work is licensed under CC BY 4.0. To view a copy of this license, visit https://creativecommons.org/licenses/by/4.0/ </w:t>
      </w:r>
    </w:p>
    <w:sectPr w:rsidR="004F11CA" w:rsidSect="00034616">
      <w:pgSz w:w="16834" w:h="11909" w:orient="landscape"/>
      <w:pgMar w:top="1008" w:right="864"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85D7" w14:textId="77777777" w:rsidR="004C69F1" w:rsidRDefault="004C69F1">
      <w:pPr>
        <w:spacing w:after="0" w:line="240" w:lineRule="auto"/>
      </w:pPr>
      <w:r>
        <w:separator/>
      </w:r>
    </w:p>
  </w:endnote>
  <w:endnote w:type="continuationSeparator" w:id="0">
    <w:p w14:paraId="63E8E554" w14:textId="77777777" w:rsidR="004C69F1" w:rsidRDefault="004C6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6B17" w14:textId="77777777" w:rsidR="00FF4F00" w:rsidRDefault="00794277">
    <w:pPr>
      <w:pStyle w:val="a7"/>
      <w:jc w:val="center"/>
    </w:pPr>
    <w:r>
      <w:rPr>
        <w:sz w:val="20"/>
      </w:rPr>
      <w:fldChar w:fldCharType="begin"/>
    </w:r>
    <w:r>
      <w:rPr>
        <w:sz w:val="20"/>
      </w:rPr>
      <w:instrText xml:space="preserve"> PAGE </w:instrText>
    </w:r>
    <w:r>
      <w:rPr>
        <w:sz w:val="20"/>
      </w:rPr>
      <w:fldChar w:fldCharType="separate"/>
    </w:r>
    <w:r w:rsidR="003A346C">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B835" w14:textId="77777777" w:rsidR="004C69F1" w:rsidRDefault="004C69F1">
      <w:pPr>
        <w:spacing w:after="0" w:line="240" w:lineRule="auto"/>
      </w:pPr>
      <w:r>
        <w:separator/>
      </w:r>
    </w:p>
  </w:footnote>
  <w:footnote w:type="continuationSeparator" w:id="0">
    <w:p w14:paraId="7766B92F" w14:textId="77777777" w:rsidR="004C69F1" w:rsidRDefault="004C6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0350496">
    <w:abstractNumId w:val="8"/>
  </w:num>
  <w:num w:numId="2" w16cid:durableId="251470176">
    <w:abstractNumId w:val="6"/>
  </w:num>
  <w:num w:numId="3" w16cid:durableId="468134113">
    <w:abstractNumId w:val="5"/>
  </w:num>
  <w:num w:numId="4" w16cid:durableId="1055272288">
    <w:abstractNumId w:val="4"/>
  </w:num>
  <w:num w:numId="5" w16cid:durableId="265776393">
    <w:abstractNumId w:val="7"/>
  </w:num>
  <w:num w:numId="6" w16cid:durableId="582909026">
    <w:abstractNumId w:val="3"/>
  </w:num>
  <w:num w:numId="7" w16cid:durableId="1991472051">
    <w:abstractNumId w:val="2"/>
  </w:num>
  <w:num w:numId="8" w16cid:durableId="1195390664">
    <w:abstractNumId w:val="1"/>
  </w:num>
  <w:num w:numId="9" w16cid:durableId="3801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515"/>
    <w:rsid w:val="00034616"/>
    <w:rsid w:val="00037A97"/>
    <w:rsid w:val="00043027"/>
    <w:rsid w:val="0005599F"/>
    <w:rsid w:val="0006063C"/>
    <w:rsid w:val="000714D3"/>
    <w:rsid w:val="00075E73"/>
    <w:rsid w:val="0008678E"/>
    <w:rsid w:val="000C7068"/>
    <w:rsid w:val="000C7E02"/>
    <w:rsid w:val="000D6AF7"/>
    <w:rsid w:val="0010373F"/>
    <w:rsid w:val="00106783"/>
    <w:rsid w:val="001173D6"/>
    <w:rsid w:val="0015074B"/>
    <w:rsid w:val="00162DD6"/>
    <w:rsid w:val="00184C2D"/>
    <w:rsid w:val="00195A59"/>
    <w:rsid w:val="001A2FF8"/>
    <w:rsid w:val="001D1692"/>
    <w:rsid w:val="001D76DF"/>
    <w:rsid w:val="001E6558"/>
    <w:rsid w:val="002033B8"/>
    <w:rsid w:val="00204341"/>
    <w:rsid w:val="0022672B"/>
    <w:rsid w:val="002646E6"/>
    <w:rsid w:val="0029639D"/>
    <w:rsid w:val="002A1677"/>
    <w:rsid w:val="002B59AE"/>
    <w:rsid w:val="002C68AC"/>
    <w:rsid w:val="002E1AA0"/>
    <w:rsid w:val="00326F90"/>
    <w:rsid w:val="00350AFF"/>
    <w:rsid w:val="003546DC"/>
    <w:rsid w:val="00367F33"/>
    <w:rsid w:val="003858AA"/>
    <w:rsid w:val="003A346C"/>
    <w:rsid w:val="003E0649"/>
    <w:rsid w:val="003F199F"/>
    <w:rsid w:val="00432441"/>
    <w:rsid w:val="00447C5B"/>
    <w:rsid w:val="004914D1"/>
    <w:rsid w:val="004C69F1"/>
    <w:rsid w:val="004F11CA"/>
    <w:rsid w:val="0050557B"/>
    <w:rsid w:val="00544694"/>
    <w:rsid w:val="00560953"/>
    <w:rsid w:val="00566045"/>
    <w:rsid w:val="0057494F"/>
    <w:rsid w:val="005878D3"/>
    <w:rsid w:val="00587D01"/>
    <w:rsid w:val="00596C2F"/>
    <w:rsid w:val="005A7527"/>
    <w:rsid w:val="005F0C6A"/>
    <w:rsid w:val="005F12D6"/>
    <w:rsid w:val="00610178"/>
    <w:rsid w:val="006537B9"/>
    <w:rsid w:val="00692398"/>
    <w:rsid w:val="006A46F1"/>
    <w:rsid w:val="006C08D5"/>
    <w:rsid w:val="006C5900"/>
    <w:rsid w:val="00714A84"/>
    <w:rsid w:val="00763A92"/>
    <w:rsid w:val="00786ED9"/>
    <w:rsid w:val="00794277"/>
    <w:rsid w:val="007971A6"/>
    <w:rsid w:val="007D6E8F"/>
    <w:rsid w:val="007F62F2"/>
    <w:rsid w:val="008800C7"/>
    <w:rsid w:val="008912E7"/>
    <w:rsid w:val="008B7B93"/>
    <w:rsid w:val="00922F8B"/>
    <w:rsid w:val="009B547E"/>
    <w:rsid w:val="009C7731"/>
    <w:rsid w:val="009D0D4A"/>
    <w:rsid w:val="009D7070"/>
    <w:rsid w:val="009F0FA1"/>
    <w:rsid w:val="00A34093"/>
    <w:rsid w:val="00A458ED"/>
    <w:rsid w:val="00A665C9"/>
    <w:rsid w:val="00AA1D8D"/>
    <w:rsid w:val="00AA67D1"/>
    <w:rsid w:val="00AE21E8"/>
    <w:rsid w:val="00B0223D"/>
    <w:rsid w:val="00B47730"/>
    <w:rsid w:val="00BB00CD"/>
    <w:rsid w:val="00BD614A"/>
    <w:rsid w:val="00C1234B"/>
    <w:rsid w:val="00C2369B"/>
    <w:rsid w:val="00C41FA0"/>
    <w:rsid w:val="00C44941"/>
    <w:rsid w:val="00C44F08"/>
    <w:rsid w:val="00C54818"/>
    <w:rsid w:val="00C72508"/>
    <w:rsid w:val="00C81973"/>
    <w:rsid w:val="00CB0664"/>
    <w:rsid w:val="00CD08E6"/>
    <w:rsid w:val="00CE6FB2"/>
    <w:rsid w:val="00CF528D"/>
    <w:rsid w:val="00D40E54"/>
    <w:rsid w:val="00DA1577"/>
    <w:rsid w:val="00DA2F04"/>
    <w:rsid w:val="00DB7D88"/>
    <w:rsid w:val="00DF0AE1"/>
    <w:rsid w:val="00DF7ECE"/>
    <w:rsid w:val="00E107E2"/>
    <w:rsid w:val="00E43BA2"/>
    <w:rsid w:val="00EA3EAA"/>
    <w:rsid w:val="00ED2D4E"/>
    <w:rsid w:val="00EF31A7"/>
    <w:rsid w:val="00F03AD0"/>
    <w:rsid w:val="00F37D97"/>
    <w:rsid w:val="00F45C7C"/>
    <w:rsid w:val="00F5185A"/>
    <w:rsid w:val="00F551F1"/>
    <w:rsid w:val="00F64A0A"/>
    <w:rsid w:val="00F73C47"/>
    <w:rsid w:val="00FC693F"/>
    <w:rsid w:val="00FE66EE"/>
    <w:rsid w:val="00FF4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16C64"/>
  <w14:defaultImageDpi w14:val="300"/>
  <w15:docId w15:val="{C46FC7E9-3B21-497E-B1AF-0FC39C93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49</Pages>
  <Words>21604</Words>
  <Characters>123144</Characters>
  <Application>Microsoft Office Word</Application>
  <DocSecurity>0</DocSecurity>
  <Lines>1026</Lines>
  <Paragraphs>288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144460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裕之 及川</cp:lastModifiedBy>
  <cp:revision>65</cp:revision>
  <dcterms:created xsi:type="dcterms:W3CDTF">2013-12-23T23:15:00Z</dcterms:created>
  <dcterms:modified xsi:type="dcterms:W3CDTF">2026-07-13T01:29:00Z</dcterms:modified>
  <cp:category/>
</cp:coreProperties>
</file>